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757D" w14:textId="41246ACC" w:rsidR="007F1024" w:rsidRDefault="001215E0" w:rsidP="00123BBF">
      <w:pPr>
        <w:pStyle w:val="Heading1"/>
        <w:rPr>
          <w:lang w:val="en-US"/>
        </w:rPr>
      </w:pPr>
      <w:r>
        <w:rPr>
          <w:lang w:val="en-US"/>
        </w:rPr>
        <w:t xml:space="preserve">What is </w:t>
      </w:r>
      <w:r w:rsidR="00A241E2">
        <w:rPr>
          <w:lang w:val="en-US"/>
        </w:rPr>
        <w:t>C</w:t>
      </w:r>
      <w:r>
        <w:rPr>
          <w:lang w:val="en-US"/>
        </w:rPr>
        <w:t>la</w:t>
      </w:r>
      <w:r w:rsidR="001901D3">
        <w:rPr>
          <w:lang w:val="en-US"/>
        </w:rPr>
        <w:t xml:space="preserve">ss </w:t>
      </w:r>
      <w:r w:rsidR="00A241E2">
        <w:rPr>
          <w:lang w:val="en-US"/>
        </w:rPr>
        <w:t>B</w:t>
      </w:r>
      <w:r w:rsidR="001901D3">
        <w:rPr>
          <w:lang w:val="en-US"/>
        </w:rPr>
        <w:t>ias</w:t>
      </w:r>
      <w:r w:rsidR="00F30A80">
        <w:rPr>
          <w:lang w:val="en-US"/>
        </w:rPr>
        <w:t>?</w:t>
      </w:r>
      <w:r>
        <w:rPr>
          <w:lang w:val="en-US"/>
        </w:rPr>
        <w:t xml:space="preserve"> </w:t>
      </w:r>
    </w:p>
    <w:p w14:paraId="4DD36AAB" w14:textId="21A9DE35" w:rsidR="000A0EEA" w:rsidRPr="00123BBF" w:rsidRDefault="000A0EEA" w:rsidP="00123BBF">
      <w:pPr>
        <w:spacing w:line="360" w:lineRule="auto"/>
      </w:pPr>
      <w:r w:rsidRPr="00123BBF">
        <w:t xml:space="preserve">Class bias is a preference for or against someone based on stereotypes and misconceptions about their class. </w:t>
      </w:r>
    </w:p>
    <w:p w14:paraId="7D4F4DDE" w14:textId="78286AB2" w:rsidR="00324EEB" w:rsidRPr="00E4615B" w:rsidRDefault="00324EEB" w:rsidP="00123BBF">
      <w:pPr>
        <w:pStyle w:val="Heading2"/>
      </w:pPr>
      <w:r w:rsidRPr="00E4615B">
        <w:t>What does class</w:t>
      </w:r>
      <w:r w:rsidR="000A0EEA" w:rsidRPr="00E4615B">
        <w:t xml:space="preserve"> bias </w:t>
      </w:r>
      <w:r w:rsidR="003414C9" w:rsidRPr="00E4615B">
        <w:t xml:space="preserve">at work </w:t>
      </w:r>
      <w:r w:rsidRPr="00E4615B">
        <w:t xml:space="preserve">look like? </w:t>
      </w:r>
    </w:p>
    <w:p w14:paraId="52B09F19" w14:textId="1EE0A972" w:rsidR="00324EEB" w:rsidRPr="00123BBF" w:rsidRDefault="00324EEB" w:rsidP="00123BBF">
      <w:pPr>
        <w:spacing w:line="360" w:lineRule="auto"/>
      </w:pPr>
      <w:r>
        <w:t>Class</w:t>
      </w:r>
      <w:r w:rsidR="57EE8583">
        <w:t xml:space="preserve"> bias</w:t>
      </w:r>
      <w:r w:rsidR="241BEC9D">
        <w:t xml:space="preserve"> </w:t>
      </w:r>
      <w:r w:rsidR="449A10E3">
        <w:t>can take many forms at work</w:t>
      </w:r>
      <w:r w:rsidR="57EE8583">
        <w:t>.</w:t>
      </w:r>
      <w:r w:rsidR="2F11F30C">
        <w:t xml:space="preserve"> </w:t>
      </w:r>
      <w:r w:rsidR="044FD6D5">
        <w:t xml:space="preserve">Understanding </w:t>
      </w:r>
      <w:r w:rsidR="2D467249">
        <w:t>how</w:t>
      </w:r>
      <w:r w:rsidR="2F11F30C">
        <w:t xml:space="preserve"> </w:t>
      </w:r>
      <w:r w:rsidR="3D20FB5C">
        <w:t>it</w:t>
      </w:r>
      <w:r w:rsidR="2F11F30C">
        <w:t xml:space="preserve"> </w:t>
      </w:r>
      <w:r w:rsidR="29AEFC73">
        <w:t xml:space="preserve">can </w:t>
      </w:r>
      <w:r w:rsidR="2F11F30C">
        <w:t>show</w:t>
      </w:r>
      <w:r w:rsidR="5371510F">
        <w:t xml:space="preserve"> </w:t>
      </w:r>
      <w:r w:rsidR="2F11F30C">
        <w:t xml:space="preserve">up </w:t>
      </w:r>
      <w:r w:rsidR="044FD6D5">
        <w:t>makes it easier to</w:t>
      </w:r>
      <w:r w:rsidR="412B3D88">
        <w:t xml:space="preserve"> identify</w:t>
      </w:r>
      <w:r w:rsidR="044FD6D5">
        <w:t xml:space="preserve">, and to reflect on </w:t>
      </w:r>
      <w:r w:rsidR="09AA8BE1">
        <w:t>whether you</w:t>
      </w:r>
      <w:r w:rsidR="762B049D">
        <w:t>r own</w:t>
      </w:r>
      <w:r w:rsidR="09AA8BE1">
        <w:t xml:space="preserve"> assumptions or decisions </w:t>
      </w:r>
      <w:r w:rsidR="762B049D">
        <w:t>may have been shaped by class bias.</w:t>
      </w:r>
      <w:r w:rsidR="5C58A158">
        <w:t xml:space="preserve"> </w:t>
      </w:r>
    </w:p>
    <w:p w14:paraId="77BA6AA8" w14:textId="2C3D99FE" w:rsidR="004E3852" w:rsidRPr="00123BBF" w:rsidRDefault="00324EEB" w:rsidP="00123BBF">
      <w:pPr>
        <w:spacing w:line="360" w:lineRule="auto"/>
      </w:pPr>
      <w:r w:rsidRPr="00123BBF">
        <w:rPr>
          <w:b/>
          <w:bCs/>
        </w:rPr>
        <w:t>Appearance</w:t>
      </w:r>
      <w:r w:rsidR="00F960AB" w:rsidRPr="00123BBF">
        <w:rPr>
          <w:b/>
          <w:bCs/>
        </w:rPr>
        <w:t xml:space="preserve"> bias</w:t>
      </w:r>
      <w:r w:rsidRPr="00123BBF">
        <w:t xml:space="preserve"> </w:t>
      </w:r>
      <w:r w:rsidR="006B5BE4" w:rsidRPr="00123BBF">
        <w:t>–</w:t>
      </w:r>
      <w:r w:rsidR="00A044FF" w:rsidRPr="00123BBF">
        <w:t xml:space="preserve"> </w:t>
      </w:r>
      <w:r w:rsidR="00D945EA" w:rsidRPr="00123BBF">
        <w:t xml:space="preserve">e.g. </w:t>
      </w:r>
      <w:r w:rsidR="006B5BE4" w:rsidRPr="00123BBF">
        <w:t>mak</w:t>
      </w:r>
      <w:r w:rsidR="00DA26DC" w:rsidRPr="00123BBF">
        <w:t>ing</w:t>
      </w:r>
      <w:r w:rsidR="006B5BE4" w:rsidRPr="00123BBF">
        <w:t xml:space="preserve"> a judgement about someone’s social class and their </w:t>
      </w:r>
      <w:r w:rsidR="0067742B" w:rsidRPr="00123BBF">
        <w:t xml:space="preserve">suitability for leadership </w:t>
      </w:r>
      <w:r w:rsidR="00DA26DC" w:rsidRPr="00123BBF">
        <w:t xml:space="preserve">based on their </w:t>
      </w:r>
      <w:r w:rsidR="004E3852" w:rsidRPr="00123BBF">
        <w:t xml:space="preserve">appearance (such as </w:t>
      </w:r>
      <w:r w:rsidR="00552D66" w:rsidRPr="00123BBF">
        <w:t xml:space="preserve">their </w:t>
      </w:r>
      <w:r w:rsidR="004E3852" w:rsidRPr="00123BBF">
        <w:t>clothing,</w:t>
      </w:r>
      <w:r w:rsidR="004E3852" w:rsidRPr="00123BBF">
        <w:rPr>
          <w:rStyle w:val="EndnoteReference"/>
        </w:rPr>
        <w:endnoteReference w:id="1"/>
      </w:r>
      <w:r w:rsidR="004E3852" w:rsidRPr="00123BBF">
        <w:t xml:space="preserve"> facial features</w:t>
      </w:r>
      <w:r w:rsidR="004E3852" w:rsidRPr="00123BBF">
        <w:rPr>
          <w:rStyle w:val="EndnoteReference"/>
        </w:rPr>
        <w:endnoteReference w:id="2"/>
      </w:r>
      <w:r w:rsidR="004E3852" w:rsidRPr="00123BBF">
        <w:t xml:space="preserve"> and tattoos</w:t>
      </w:r>
      <w:r w:rsidR="004E3852" w:rsidRPr="00123BBF">
        <w:rPr>
          <w:rStyle w:val="EndnoteReference"/>
        </w:rPr>
        <w:endnoteReference w:id="3"/>
      </w:r>
      <w:r w:rsidR="004E3852" w:rsidRPr="00123BBF">
        <w:t>)</w:t>
      </w:r>
      <w:r w:rsidR="00DA26DC" w:rsidRPr="00123BBF">
        <w:t xml:space="preserve">. </w:t>
      </w:r>
    </w:p>
    <w:p w14:paraId="720E48ED" w14:textId="0E002E19" w:rsidR="00EE78F8" w:rsidRPr="00123BBF" w:rsidRDefault="00EE78F8" w:rsidP="00123BBF">
      <w:pPr>
        <w:pStyle w:val="Classquotes"/>
        <w:spacing w:line="360" w:lineRule="auto"/>
        <w:jc w:val="left"/>
        <w:rPr>
          <w:szCs w:val="24"/>
        </w:rPr>
      </w:pPr>
      <w:r w:rsidRPr="00123BBF">
        <w:rPr>
          <w:szCs w:val="24"/>
        </w:rPr>
        <w:t>“People assume my appearance or personal style means I'm not well-educated.”</w:t>
      </w:r>
    </w:p>
    <w:p w14:paraId="64CDC142" w14:textId="0552E8EF" w:rsidR="004E3852" w:rsidRPr="00123BBF" w:rsidRDefault="00324EEB" w:rsidP="00123BBF">
      <w:pPr>
        <w:spacing w:line="360" w:lineRule="auto"/>
      </w:pPr>
      <w:r w:rsidRPr="00123BBF">
        <w:rPr>
          <w:b/>
        </w:rPr>
        <w:t>Educatio</w:t>
      </w:r>
      <w:r w:rsidR="0028591D" w:rsidRPr="00123BBF">
        <w:rPr>
          <w:b/>
        </w:rPr>
        <w:t>n</w:t>
      </w:r>
      <w:r w:rsidR="00F960AB" w:rsidRPr="00123BBF">
        <w:rPr>
          <w:b/>
        </w:rPr>
        <w:t xml:space="preserve"> bias</w:t>
      </w:r>
      <w:r w:rsidR="00C14824" w:rsidRPr="00123BBF">
        <w:rPr>
          <w:bCs/>
        </w:rPr>
        <w:t xml:space="preserve"> </w:t>
      </w:r>
      <w:r w:rsidR="00D945EA" w:rsidRPr="00123BBF">
        <w:rPr>
          <w:bCs/>
        </w:rPr>
        <w:t>–</w:t>
      </w:r>
      <w:r w:rsidR="00C14824" w:rsidRPr="00123BBF">
        <w:rPr>
          <w:bCs/>
        </w:rPr>
        <w:t xml:space="preserve"> </w:t>
      </w:r>
      <w:r w:rsidR="00D945EA" w:rsidRPr="00123BBF">
        <w:rPr>
          <w:bCs/>
        </w:rPr>
        <w:t xml:space="preserve">e.g. </w:t>
      </w:r>
      <w:r w:rsidR="006335CF" w:rsidRPr="00123BBF">
        <w:rPr>
          <w:bCs/>
        </w:rPr>
        <w:t>s</w:t>
      </w:r>
      <w:r w:rsidR="004E3852" w:rsidRPr="00123BBF">
        <w:rPr>
          <w:bCs/>
        </w:rPr>
        <w:t>howing</w:t>
      </w:r>
      <w:r w:rsidR="004E3852" w:rsidRPr="00123BBF">
        <w:t xml:space="preserve"> a preference for applicants and employees who attended elite private schools or universities when </w:t>
      </w:r>
      <w:r w:rsidR="0008352F" w:rsidRPr="00123BBF">
        <w:t xml:space="preserve">making </w:t>
      </w:r>
      <w:r w:rsidR="004E3852" w:rsidRPr="00123BBF">
        <w:t>recruiting or</w:t>
      </w:r>
      <w:r w:rsidR="0008352F" w:rsidRPr="00123BBF">
        <w:t xml:space="preserve"> </w:t>
      </w:r>
      <w:r w:rsidR="004E3852" w:rsidRPr="00123BBF">
        <w:t xml:space="preserve">promotion decisions. </w:t>
      </w:r>
    </w:p>
    <w:p w14:paraId="60A3469E" w14:textId="503ED7A6" w:rsidR="0065675D" w:rsidRPr="00123BBF" w:rsidRDefault="0065675D" w:rsidP="00123BBF">
      <w:pPr>
        <w:spacing w:line="360" w:lineRule="auto"/>
        <w:rPr>
          <w:color w:val="7030A0"/>
          <w:lang w:eastAsia="en-AU"/>
        </w:rPr>
      </w:pPr>
      <w:r w:rsidRPr="00123BBF">
        <w:rPr>
          <w:color w:val="7030A0"/>
          <w:lang w:eastAsia="en-AU"/>
        </w:rPr>
        <w:t>“I was told that I attended a ‘Country Hick’ university.”</w:t>
      </w:r>
    </w:p>
    <w:p w14:paraId="4402D691" w14:textId="30FB53CF" w:rsidR="00F30A80" w:rsidRPr="00123BBF" w:rsidRDefault="00F30A80" w:rsidP="00123BBF">
      <w:pPr>
        <w:spacing w:line="360" w:lineRule="auto"/>
      </w:pPr>
      <w:r w:rsidRPr="00123BBF">
        <w:rPr>
          <w:b/>
          <w:bCs/>
        </w:rPr>
        <w:t>Accent o</w:t>
      </w:r>
      <w:r w:rsidR="4FB54451" w:rsidRPr="00123BBF">
        <w:rPr>
          <w:b/>
          <w:bCs/>
        </w:rPr>
        <w:t>r</w:t>
      </w:r>
      <w:r w:rsidRPr="00123BBF">
        <w:rPr>
          <w:b/>
          <w:bCs/>
        </w:rPr>
        <w:t xml:space="preserve"> linguistic</w:t>
      </w:r>
      <w:r w:rsidR="00F960AB" w:rsidRPr="00123BBF">
        <w:rPr>
          <w:b/>
          <w:bCs/>
        </w:rPr>
        <w:t xml:space="preserve"> bias</w:t>
      </w:r>
      <w:r w:rsidRPr="00123BBF">
        <w:t xml:space="preserve"> </w:t>
      </w:r>
      <w:r w:rsidR="00CB0163" w:rsidRPr="00123BBF">
        <w:t>–</w:t>
      </w:r>
      <w:r w:rsidR="00710E89" w:rsidRPr="00123BBF">
        <w:t xml:space="preserve"> </w:t>
      </w:r>
      <w:r w:rsidR="008014E3" w:rsidRPr="00123BBF">
        <w:t xml:space="preserve">e.g. </w:t>
      </w:r>
      <w:r w:rsidR="00CB0163" w:rsidRPr="00123BBF">
        <w:t xml:space="preserve">making assessments about someone’s </w:t>
      </w:r>
      <w:r w:rsidR="00482FBD" w:rsidRPr="00123BBF">
        <w:t>social class and thei</w:t>
      </w:r>
      <w:r w:rsidR="002B08D5" w:rsidRPr="00123BBF">
        <w:t xml:space="preserve">r suitability for client facing work </w:t>
      </w:r>
      <w:r w:rsidR="00482FBD" w:rsidRPr="00123BBF">
        <w:t>based on t</w:t>
      </w:r>
      <w:r w:rsidRPr="00123BBF">
        <w:t>he type of language</w:t>
      </w:r>
      <w:r w:rsidR="00482FBD" w:rsidRPr="00123BBF">
        <w:t xml:space="preserve"> they</w:t>
      </w:r>
      <w:r w:rsidRPr="00123BBF">
        <w:t xml:space="preserve"> use (e.g. accent or choice of words).</w:t>
      </w:r>
    </w:p>
    <w:p w14:paraId="54574750" w14:textId="371E78FE" w:rsidR="00250A0B" w:rsidRPr="00123BBF" w:rsidRDefault="00250A0B" w:rsidP="00123BBF">
      <w:pPr>
        <w:spacing w:line="360" w:lineRule="auto"/>
        <w:rPr>
          <w:color w:val="7030A0"/>
        </w:rPr>
      </w:pPr>
      <w:r w:rsidRPr="00123BBF">
        <w:rPr>
          <w:color w:val="7030A0"/>
        </w:rPr>
        <w:t>“I was once told by a manager … that I needed elocution lessons as I sounded 'common' and he didn’t want me speaking to his exec clients.”</w:t>
      </w:r>
    </w:p>
    <w:p w14:paraId="1EB5FCF9" w14:textId="0CE38397" w:rsidR="003414C9" w:rsidRPr="00123BBF" w:rsidRDefault="003414C9" w:rsidP="00123BBF">
      <w:pPr>
        <w:spacing w:line="360" w:lineRule="auto"/>
      </w:pPr>
      <w:r w:rsidRPr="00123BBF">
        <w:rPr>
          <w:b/>
          <w:bCs/>
        </w:rPr>
        <w:t>Location or residence</w:t>
      </w:r>
      <w:r w:rsidR="00F960AB" w:rsidRPr="00123BBF">
        <w:rPr>
          <w:b/>
          <w:bCs/>
        </w:rPr>
        <w:t xml:space="preserve"> bias</w:t>
      </w:r>
      <w:r w:rsidR="003B4813" w:rsidRPr="00123BBF">
        <w:t xml:space="preserve"> -</w:t>
      </w:r>
      <w:r w:rsidR="002D7749" w:rsidRPr="00123BBF">
        <w:t xml:space="preserve"> </w:t>
      </w:r>
      <w:r w:rsidR="00F87F67" w:rsidRPr="00123BBF">
        <w:t xml:space="preserve">e.g. </w:t>
      </w:r>
      <w:r w:rsidR="00525D6C" w:rsidRPr="00123BBF">
        <w:t xml:space="preserve">making fun of </w:t>
      </w:r>
      <w:r w:rsidR="00A36EB4" w:rsidRPr="00123BBF">
        <w:t>colleagues</w:t>
      </w:r>
      <w:r w:rsidR="00525D6C" w:rsidRPr="00123BBF">
        <w:t xml:space="preserve"> </w:t>
      </w:r>
      <w:r w:rsidR="00250A0B" w:rsidRPr="00123BBF">
        <w:t xml:space="preserve">because they live in </w:t>
      </w:r>
      <w:r w:rsidR="00525D6C" w:rsidRPr="00123BBF">
        <w:t>areas considered less wealthy (</w:t>
      </w:r>
      <w:r w:rsidR="00C95FDE" w:rsidRPr="00123BBF">
        <w:t>e.g. regional areas or outer suburbs).</w:t>
      </w:r>
    </w:p>
    <w:p w14:paraId="72A46101" w14:textId="45A870C7" w:rsidR="00F87F67" w:rsidRPr="00123BBF" w:rsidRDefault="00F87F67" w:rsidP="00123BBF">
      <w:pPr>
        <w:spacing w:line="360" w:lineRule="auto"/>
        <w:rPr>
          <w:color w:val="7030A0"/>
        </w:rPr>
      </w:pPr>
      <w:r w:rsidRPr="00123BBF">
        <w:rPr>
          <w:color w:val="7030A0"/>
        </w:rPr>
        <w:t>“</w:t>
      </w:r>
      <w:r w:rsidR="00055D6B" w:rsidRPr="00123BBF">
        <w:rPr>
          <w:color w:val="7030A0"/>
        </w:rPr>
        <w:t>[I] r</w:t>
      </w:r>
      <w:r w:rsidRPr="00123BBF">
        <w:rPr>
          <w:color w:val="7030A0"/>
        </w:rPr>
        <w:t>eceived denigrating/prejudiced comments for living in Western Sydney.”</w:t>
      </w:r>
    </w:p>
    <w:p w14:paraId="79C68119" w14:textId="271476A6" w:rsidR="00C95FDE" w:rsidRPr="00123BBF" w:rsidRDefault="00C95FDE" w:rsidP="00123BBF">
      <w:pPr>
        <w:spacing w:line="360" w:lineRule="auto"/>
      </w:pPr>
      <w:r w:rsidRPr="00123BBF">
        <w:rPr>
          <w:b/>
          <w:bCs/>
        </w:rPr>
        <w:t>Hobbies and interests</w:t>
      </w:r>
      <w:r w:rsidR="00F960AB" w:rsidRPr="00123BBF">
        <w:t xml:space="preserve"> </w:t>
      </w:r>
      <w:r w:rsidR="00F960AB" w:rsidRPr="00123BBF">
        <w:rPr>
          <w:b/>
          <w:bCs/>
        </w:rPr>
        <w:t>bias</w:t>
      </w:r>
      <w:r w:rsidR="00F960AB" w:rsidRPr="00123BBF">
        <w:t xml:space="preserve"> </w:t>
      </w:r>
      <w:r w:rsidR="00055D6B" w:rsidRPr="00123BBF">
        <w:t>–</w:t>
      </w:r>
      <w:r w:rsidRPr="00123BBF">
        <w:t xml:space="preserve"> </w:t>
      </w:r>
      <w:r w:rsidR="00055D6B" w:rsidRPr="00123BBF">
        <w:t xml:space="preserve">e.g. </w:t>
      </w:r>
      <w:r w:rsidR="005309C7" w:rsidRPr="00123BBF">
        <w:t xml:space="preserve">excluding someone from </w:t>
      </w:r>
      <w:r w:rsidR="004F5165" w:rsidRPr="00123BBF">
        <w:t xml:space="preserve">workplace </w:t>
      </w:r>
      <w:r w:rsidR="005309C7" w:rsidRPr="00123BBF">
        <w:t>socialising b</w:t>
      </w:r>
      <w:r w:rsidR="00247931" w:rsidRPr="00123BBF">
        <w:t xml:space="preserve">ased on assumptions they do not like or understand </w:t>
      </w:r>
      <w:r w:rsidRPr="00123BBF">
        <w:t>activities</w:t>
      </w:r>
      <w:r w:rsidR="004F5165" w:rsidRPr="00123BBF">
        <w:t xml:space="preserve"> </w:t>
      </w:r>
      <w:r w:rsidR="00246E48" w:rsidRPr="00123BBF">
        <w:t xml:space="preserve">seen as “classy” or “highbrow” </w:t>
      </w:r>
      <w:r w:rsidR="00D570A8" w:rsidRPr="00123BBF">
        <w:t xml:space="preserve">(such as </w:t>
      </w:r>
      <w:r w:rsidRPr="00123BBF">
        <w:t>attending the opera, golfing or sailing</w:t>
      </w:r>
      <w:r w:rsidR="00D570A8" w:rsidRPr="00123BBF">
        <w:t>)</w:t>
      </w:r>
      <w:r w:rsidRPr="00123BBF">
        <w:t>.</w:t>
      </w:r>
      <w:r w:rsidRPr="00123BBF">
        <w:rPr>
          <w:rStyle w:val="EndnoteReference"/>
        </w:rPr>
        <w:endnoteReference w:id="4"/>
      </w:r>
    </w:p>
    <w:p w14:paraId="5E0160C5" w14:textId="219D847B" w:rsidR="00746963" w:rsidRPr="00123BBF" w:rsidRDefault="00746963" w:rsidP="00123BBF">
      <w:pPr>
        <w:spacing w:line="360" w:lineRule="auto"/>
        <w:rPr>
          <w:color w:val="7030A0"/>
        </w:rPr>
      </w:pPr>
      <w:r w:rsidRPr="00123BBF">
        <w:rPr>
          <w:color w:val="7030A0"/>
        </w:rPr>
        <w:t>“Assuming everyone knows how to sail and golf for various work client and social events.”</w:t>
      </w:r>
    </w:p>
    <w:p w14:paraId="30F82374" w14:textId="15D77016" w:rsidR="00C95FDE" w:rsidRPr="00123BBF" w:rsidRDefault="00054B15" w:rsidP="00123BBF">
      <w:pPr>
        <w:spacing w:line="360" w:lineRule="auto"/>
      </w:pPr>
      <w:r w:rsidRPr="00123BBF">
        <w:rPr>
          <w:b/>
          <w:bCs/>
        </w:rPr>
        <w:t>Food and dri</w:t>
      </w:r>
      <w:r w:rsidR="003B4813" w:rsidRPr="00123BBF">
        <w:rPr>
          <w:b/>
          <w:bCs/>
        </w:rPr>
        <w:t>nk</w:t>
      </w:r>
      <w:r w:rsidR="00F960AB" w:rsidRPr="00123BBF">
        <w:rPr>
          <w:b/>
          <w:bCs/>
        </w:rPr>
        <w:t xml:space="preserve"> bias</w:t>
      </w:r>
      <w:r w:rsidR="003B4813" w:rsidRPr="00123BBF">
        <w:t xml:space="preserve"> </w:t>
      </w:r>
      <w:r w:rsidR="005D50A9" w:rsidRPr="00123BBF">
        <w:t>–</w:t>
      </w:r>
      <w:r w:rsidR="003B4813" w:rsidRPr="00123BBF">
        <w:t xml:space="preserve"> </w:t>
      </w:r>
      <w:r w:rsidR="005D50A9" w:rsidRPr="00123BBF">
        <w:t xml:space="preserve">e.g. </w:t>
      </w:r>
      <w:r w:rsidR="001E00CF" w:rsidRPr="00123BBF">
        <w:t xml:space="preserve">making fun of colleagues for bringing packed lunches to work </w:t>
      </w:r>
      <w:r w:rsidR="00FB65CB" w:rsidRPr="00123BBF">
        <w:t>and the type of food they eat.</w:t>
      </w:r>
      <w:r w:rsidR="00C95FDE" w:rsidRPr="00123BBF">
        <w:rPr>
          <w:rStyle w:val="EndnoteReference"/>
        </w:rPr>
        <w:endnoteReference w:id="5"/>
      </w:r>
      <w:r w:rsidR="00C95FDE" w:rsidRPr="00123BBF">
        <w:t xml:space="preserve"> </w:t>
      </w:r>
    </w:p>
    <w:p w14:paraId="7B82D087" w14:textId="1EF849E1" w:rsidR="00CE40A1" w:rsidRPr="00123BBF" w:rsidRDefault="002D7749" w:rsidP="00123BBF">
      <w:pPr>
        <w:spacing w:line="360" w:lineRule="auto"/>
        <w:rPr>
          <w:color w:val="7030A0"/>
        </w:rPr>
      </w:pPr>
      <w:r w:rsidRPr="00123BBF">
        <w:rPr>
          <w:color w:val="7030A0"/>
        </w:rPr>
        <w:t>“People being laughed at for bringing lunch to work.”</w:t>
      </w:r>
    </w:p>
    <w:p w14:paraId="4F29B3FE" w14:textId="60696C6C" w:rsidR="001B57D0" w:rsidRDefault="00CE40A1" w:rsidP="00123BBF">
      <w:pPr>
        <w:pStyle w:val="Heading2"/>
      </w:pPr>
      <w:r>
        <w:br w:type="page"/>
      </w:r>
      <w:r w:rsidR="001F4259">
        <w:t>How ca</w:t>
      </w:r>
      <w:r w:rsidR="001B57D0">
        <w:t xml:space="preserve">n organisations address class bias? </w:t>
      </w:r>
    </w:p>
    <w:p w14:paraId="58521E8C" w14:textId="55B2987E" w:rsidR="00BD26A6" w:rsidRDefault="00BD26A6" w:rsidP="00123BBF">
      <w:pPr>
        <w:spacing w:before="120" w:after="120" w:line="360" w:lineRule="auto"/>
      </w:pPr>
      <w:r w:rsidRPr="00123BBF">
        <w:t>DCA surveyed 1</w:t>
      </w:r>
      <w:r w:rsidR="7F04F08C" w:rsidRPr="00123BBF">
        <w:t>,</w:t>
      </w:r>
      <w:r w:rsidRPr="00123BBF">
        <w:t xml:space="preserve">403 workers in Australia </w:t>
      </w:r>
      <w:r w:rsidR="00CE72BF" w:rsidRPr="00123BBF">
        <w:t xml:space="preserve">and </w:t>
      </w:r>
      <w:r w:rsidR="007A1753" w:rsidRPr="00123BBF">
        <w:t xml:space="preserve">conducted an extensive literature review </w:t>
      </w:r>
      <w:r w:rsidRPr="00123BBF">
        <w:t xml:space="preserve">about how </w:t>
      </w:r>
      <w:r w:rsidR="00762FE1" w:rsidRPr="00123BBF">
        <w:t xml:space="preserve">class bias shows up in Australian workplaces </w:t>
      </w:r>
      <w:r w:rsidR="006842B1" w:rsidRPr="00123BBF">
        <w:t>and</w:t>
      </w:r>
      <w:r w:rsidR="00B14C08" w:rsidRPr="00123BBF">
        <w:t xml:space="preserve"> </w:t>
      </w:r>
      <w:r w:rsidR="00CE72BF" w:rsidRPr="00123BBF">
        <w:t xml:space="preserve">what </w:t>
      </w:r>
      <w:r w:rsidR="001F4259" w:rsidRPr="00123BBF">
        <w:t xml:space="preserve">organisations can </w:t>
      </w:r>
      <w:r w:rsidR="00CE72BF" w:rsidRPr="00123BBF">
        <w:t xml:space="preserve">do to </w:t>
      </w:r>
      <w:r w:rsidR="001F4259" w:rsidRPr="00123BBF">
        <w:t>address this</w:t>
      </w:r>
      <w:r w:rsidR="00C672FA">
        <w:t xml:space="preserve"> (see Table 1). </w:t>
      </w:r>
    </w:p>
    <w:p w14:paraId="67119F49" w14:textId="03BD1072" w:rsidR="00123BBF" w:rsidRPr="00123BBF" w:rsidRDefault="00123BBF" w:rsidP="00123BBF">
      <w:pPr>
        <w:pStyle w:val="Caption"/>
        <w:rPr>
          <w:sz w:val="24"/>
          <w:szCs w:val="24"/>
        </w:rPr>
      </w:pPr>
      <w:r w:rsidRPr="00123BBF">
        <w:rPr>
          <w:sz w:val="24"/>
          <w:szCs w:val="24"/>
        </w:rPr>
        <w:t xml:space="preserve">Table </w:t>
      </w:r>
      <w:r w:rsidRPr="00123BBF">
        <w:rPr>
          <w:sz w:val="24"/>
          <w:szCs w:val="24"/>
        </w:rPr>
        <w:fldChar w:fldCharType="begin"/>
      </w:r>
      <w:r w:rsidRPr="00123BBF">
        <w:rPr>
          <w:sz w:val="24"/>
          <w:szCs w:val="24"/>
        </w:rPr>
        <w:instrText xml:space="preserve"> SEQ Table \* ARABIC </w:instrText>
      </w:r>
      <w:r w:rsidRPr="00123BBF">
        <w:rPr>
          <w:sz w:val="24"/>
          <w:szCs w:val="24"/>
        </w:rPr>
        <w:fldChar w:fldCharType="separate"/>
      </w:r>
      <w:r w:rsidRPr="00123BBF">
        <w:rPr>
          <w:noProof/>
          <w:sz w:val="24"/>
          <w:szCs w:val="24"/>
        </w:rPr>
        <w:t>1</w:t>
      </w:r>
      <w:r w:rsidRPr="00123BBF">
        <w:rPr>
          <w:sz w:val="24"/>
          <w:szCs w:val="24"/>
        </w:rPr>
        <w:fldChar w:fldCharType="end"/>
      </w:r>
      <w:r w:rsidRPr="00123BBF">
        <w:rPr>
          <w:sz w:val="24"/>
          <w:szCs w:val="24"/>
        </w:rPr>
        <w:t>: An Organisational Framework for Action on Class Inclusion</w:t>
      </w:r>
    </w:p>
    <w:tbl>
      <w:tblPr>
        <w:tblStyle w:val="TableGrid"/>
        <w:tblW w:w="9342" w:type="dxa"/>
        <w:tblLook w:val="04A0" w:firstRow="1" w:lastRow="0" w:firstColumn="1" w:lastColumn="0" w:noHBand="0" w:noVBand="1"/>
        <w:tblCaption w:val="Table 1: An Organisational Framework for Action on Class Inclusion"/>
        <w:tblDescription w:val="Refer to caption"/>
      </w:tblPr>
      <w:tblGrid>
        <w:gridCol w:w="2689"/>
        <w:gridCol w:w="3969"/>
        <w:gridCol w:w="2684"/>
      </w:tblGrid>
      <w:tr w:rsidR="00980868" w:rsidRPr="00123BBF" w14:paraId="34FCC5F4" w14:textId="77777777" w:rsidTr="00123BBF">
        <w:trPr>
          <w:trHeight w:val="283"/>
          <w:tblHeader/>
        </w:trPr>
        <w:tc>
          <w:tcPr>
            <w:tcW w:w="2689" w:type="dxa"/>
            <w:shd w:val="clear" w:color="auto" w:fill="D9D9D9" w:themeFill="background1" w:themeFillShade="D9"/>
          </w:tcPr>
          <w:p w14:paraId="499DD3C5" w14:textId="29FDF27B" w:rsidR="00980868" w:rsidRPr="00123BBF" w:rsidRDefault="00C3557E" w:rsidP="00980868">
            <w:pPr>
              <w:spacing w:line="252" w:lineRule="auto"/>
              <w:rPr>
                <w:b/>
                <w:bCs/>
                <w:sz w:val="24"/>
                <w:szCs w:val="24"/>
              </w:rPr>
            </w:pPr>
            <w:r w:rsidRPr="00123BBF">
              <w:rPr>
                <w:b/>
                <w:bCs/>
                <w:sz w:val="24"/>
                <w:szCs w:val="24"/>
              </w:rPr>
              <w:t>ORGANISATIONAL LOCKS</w:t>
            </w:r>
          </w:p>
          <w:p w14:paraId="609A76D0" w14:textId="49407A3A" w:rsidR="00980868" w:rsidRPr="00123BBF" w:rsidRDefault="00980868" w:rsidP="00980868">
            <w:pPr>
              <w:spacing w:line="252" w:lineRule="auto"/>
              <w:rPr>
                <w:b/>
                <w:bCs/>
                <w:sz w:val="24"/>
                <w:szCs w:val="24"/>
              </w:rPr>
            </w:pPr>
            <w:r w:rsidRPr="00123BBF">
              <w:rPr>
                <w:sz w:val="24"/>
                <w:szCs w:val="24"/>
              </w:rPr>
              <w:t>What are the organisational locks (barriers) locking out class marginalised people in workplaces?</w:t>
            </w:r>
          </w:p>
        </w:tc>
        <w:tc>
          <w:tcPr>
            <w:tcW w:w="3969" w:type="dxa"/>
            <w:shd w:val="clear" w:color="auto" w:fill="D9D9D9" w:themeFill="background1" w:themeFillShade="D9"/>
            <w:vAlign w:val="center"/>
          </w:tcPr>
          <w:p w14:paraId="45171DE4" w14:textId="613CF2CF" w:rsidR="00980868" w:rsidRPr="00123BBF" w:rsidRDefault="00C10317" w:rsidP="00C10317">
            <w:pPr>
              <w:spacing w:line="252" w:lineRule="auto"/>
              <w:jc w:val="center"/>
              <w:rPr>
                <w:b/>
                <w:bCs/>
                <w:sz w:val="24"/>
                <w:szCs w:val="24"/>
              </w:rPr>
            </w:pPr>
            <w:r w:rsidRPr="00123BBF">
              <w:rPr>
                <w:b/>
                <w:bCs/>
                <w:sz w:val="24"/>
                <w:szCs w:val="24"/>
              </w:rPr>
              <w:t>What workers told us</w:t>
            </w:r>
          </w:p>
        </w:tc>
        <w:tc>
          <w:tcPr>
            <w:tcW w:w="2684" w:type="dxa"/>
            <w:shd w:val="clear" w:color="auto" w:fill="D9D9D9" w:themeFill="background1" w:themeFillShade="D9"/>
          </w:tcPr>
          <w:p w14:paraId="22E293F7" w14:textId="77777777" w:rsidR="00980868" w:rsidRPr="00123BBF" w:rsidRDefault="00980868" w:rsidP="00980868">
            <w:pPr>
              <w:spacing w:line="252" w:lineRule="auto"/>
              <w:rPr>
                <w:b/>
                <w:bCs/>
                <w:sz w:val="24"/>
                <w:szCs w:val="24"/>
              </w:rPr>
            </w:pPr>
            <w:r w:rsidRPr="00123BBF">
              <w:rPr>
                <w:b/>
                <w:bCs/>
                <w:sz w:val="24"/>
                <w:szCs w:val="24"/>
              </w:rPr>
              <w:t>ORGANISATIONAL KEYS</w:t>
            </w:r>
          </w:p>
          <w:p w14:paraId="69531FED" w14:textId="77777777" w:rsidR="00980868" w:rsidRPr="00123BBF" w:rsidRDefault="00980868" w:rsidP="00980868">
            <w:pPr>
              <w:spacing w:line="252" w:lineRule="auto"/>
              <w:rPr>
                <w:sz w:val="24"/>
                <w:szCs w:val="24"/>
              </w:rPr>
            </w:pPr>
            <w:r w:rsidRPr="00123BBF">
              <w:rPr>
                <w:sz w:val="24"/>
                <w:szCs w:val="24"/>
              </w:rPr>
              <w:t>What are the organisational keys to creating class diversity and inclusion?</w:t>
            </w:r>
          </w:p>
        </w:tc>
      </w:tr>
      <w:tr w:rsidR="00980868" w:rsidRPr="00123BBF" w14:paraId="67B3DAEB" w14:textId="77777777" w:rsidTr="00123BBF">
        <w:trPr>
          <w:trHeight w:val="1649"/>
        </w:trPr>
        <w:tc>
          <w:tcPr>
            <w:tcW w:w="2689" w:type="dxa"/>
          </w:tcPr>
          <w:p w14:paraId="6042E8F9" w14:textId="77777777" w:rsidR="00980868" w:rsidRPr="00123BBF" w:rsidRDefault="00980868" w:rsidP="00980868">
            <w:pPr>
              <w:spacing w:line="252" w:lineRule="auto"/>
              <w:rPr>
                <w:b/>
                <w:bCs/>
                <w:sz w:val="24"/>
                <w:szCs w:val="24"/>
              </w:rPr>
            </w:pPr>
            <w:r w:rsidRPr="00123BBF">
              <w:rPr>
                <w:b/>
                <w:bCs/>
                <w:sz w:val="24"/>
                <w:szCs w:val="24"/>
              </w:rPr>
              <w:t>Lock 1: Low class literacy</w:t>
            </w:r>
          </w:p>
        </w:tc>
        <w:tc>
          <w:tcPr>
            <w:tcW w:w="3969" w:type="dxa"/>
          </w:tcPr>
          <w:p w14:paraId="01F06F4E" w14:textId="7E1C7A26" w:rsidR="00980868" w:rsidRPr="00123BBF" w:rsidRDefault="2B64A3E3" w:rsidP="05C5CDF8">
            <w:pPr>
              <w:spacing w:line="252" w:lineRule="auto"/>
              <w:jc w:val="center"/>
              <w:rPr>
                <w:color w:val="7030A0"/>
                <w:sz w:val="24"/>
                <w:szCs w:val="24"/>
                <w:lang w:eastAsia="en-AU"/>
              </w:rPr>
            </w:pPr>
            <w:r w:rsidRPr="00123BBF">
              <w:rPr>
                <w:color w:val="7030A0"/>
                <w:sz w:val="24"/>
                <w:szCs w:val="24"/>
                <w:lang w:eastAsia="en-AU"/>
              </w:rPr>
              <w:t>“Class diversity and inclusion has not been included in the overarching DE&amp;I discussion in my organisation. Executives and senior management come from upper class backgrounds (private school education, reside in the most expensive suburbs, etc</w:t>
            </w:r>
            <w:r w:rsidR="1CAC7211" w:rsidRPr="00123BBF">
              <w:rPr>
                <w:color w:val="7030A0"/>
                <w:sz w:val="24"/>
                <w:szCs w:val="24"/>
                <w:lang w:eastAsia="en-AU"/>
              </w:rPr>
              <w:t>.</w:t>
            </w:r>
            <w:r w:rsidRPr="00123BBF">
              <w:rPr>
                <w:color w:val="7030A0"/>
                <w:sz w:val="24"/>
                <w:szCs w:val="24"/>
                <w:lang w:eastAsia="en-AU"/>
              </w:rPr>
              <w:t>) so they do not see class as a barrier.”</w:t>
            </w:r>
          </w:p>
        </w:tc>
        <w:tc>
          <w:tcPr>
            <w:tcW w:w="2684" w:type="dxa"/>
          </w:tcPr>
          <w:p w14:paraId="7FEAA473" w14:textId="77777777" w:rsidR="00980868" w:rsidRPr="00123BBF" w:rsidRDefault="00980868" w:rsidP="00980868">
            <w:pPr>
              <w:spacing w:line="252" w:lineRule="auto"/>
              <w:rPr>
                <w:b/>
                <w:bCs/>
                <w:sz w:val="24"/>
                <w:szCs w:val="24"/>
              </w:rPr>
            </w:pPr>
            <w:r w:rsidRPr="00123BBF">
              <w:rPr>
                <w:b/>
                <w:bCs/>
                <w:sz w:val="24"/>
                <w:szCs w:val="24"/>
              </w:rPr>
              <w:t>Key 1: Build class literacy</w:t>
            </w:r>
          </w:p>
        </w:tc>
      </w:tr>
      <w:tr w:rsidR="00980868" w:rsidRPr="00123BBF" w14:paraId="63F3D98E" w14:textId="77777777" w:rsidTr="00123BBF">
        <w:trPr>
          <w:trHeight w:val="266"/>
        </w:trPr>
        <w:tc>
          <w:tcPr>
            <w:tcW w:w="2689" w:type="dxa"/>
          </w:tcPr>
          <w:p w14:paraId="79E265F9" w14:textId="681140EE" w:rsidR="00980868" w:rsidRPr="00123BBF" w:rsidRDefault="00980868" w:rsidP="00980868">
            <w:pPr>
              <w:spacing w:line="252" w:lineRule="auto"/>
              <w:rPr>
                <w:b/>
                <w:bCs/>
                <w:sz w:val="24"/>
                <w:szCs w:val="24"/>
              </w:rPr>
            </w:pPr>
            <w:r w:rsidRPr="00123BBF">
              <w:rPr>
                <w:b/>
                <w:bCs/>
                <w:sz w:val="24"/>
                <w:szCs w:val="24"/>
              </w:rPr>
              <w:t>Lock 2: Unknown current state</w:t>
            </w:r>
            <w:r w:rsidR="00141484" w:rsidRPr="00123BBF">
              <w:rPr>
                <w:b/>
                <w:bCs/>
                <w:sz w:val="24"/>
                <w:szCs w:val="24"/>
              </w:rPr>
              <w:t xml:space="preserve">   </w:t>
            </w:r>
            <w:r w:rsidR="007C5707" w:rsidRPr="00123BBF">
              <w:rPr>
                <w:b/>
                <w:bCs/>
                <w:sz w:val="24"/>
                <w:szCs w:val="24"/>
              </w:rPr>
              <w:t>`</w:t>
            </w:r>
          </w:p>
        </w:tc>
        <w:tc>
          <w:tcPr>
            <w:tcW w:w="3969" w:type="dxa"/>
          </w:tcPr>
          <w:p w14:paraId="7D6F0447" w14:textId="77777777" w:rsidR="00980868" w:rsidRPr="00123BBF" w:rsidRDefault="00980868" w:rsidP="00F07A30">
            <w:pPr>
              <w:spacing w:line="252" w:lineRule="auto"/>
              <w:jc w:val="center"/>
              <w:rPr>
                <w:sz w:val="24"/>
                <w:szCs w:val="24"/>
              </w:rPr>
            </w:pPr>
            <w:r w:rsidRPr="00123BBF">
              <w:rPr>
                <w:rStyle w:val="QuoteChar"/>
                <w:i w:val="0"/>
                <w:iCs w:val="0"/>
                <w:color w:val="7030A0"/>
                <w:sz w:val="24"/>
                <w:szCs w:val="24"/>
              </w:rPr>
              <w:t>“We deem the request for this information intrusive, unethical, and possibly illegal in Australia.”</w:t>
            </w:r>
          </w:p>
        </w:tc>
        <w:tc>
          <w:tcPr>
            <w:tcW w:w="2684" w:type="dxa"/>
          </w:tcPr>
          <w:p w14:paraId="27041DB1" w14:textId="77777777" w:rsidR="00980868" w:rsidRPr="00123BBF" w:rsidRDefault="00980868" w:rsidP="00980868">
            <w:pPr>
              <w:spacing w:line="252" w:lineRule="auto"/>
              <w:rPr>
                <w:b/>
                <w:bCs/>
                <w:sz w:val="24"/>
                <w:szCs w:val="24"/>
              </w:rPr>
            </w:pPr>
            <w:r w:rsidRPr="00123BBF">
              <w:rPr>
                <w:b/>
                <w:bCs/>
                <w:sz w:val="24"/>
                <w:szCs w:val="24"/>
              </w:rPr>
              <w:t>Key 2: Count class</w:t>
            </w:r>
          </w:p>
        </w:tc>
      </w:tr>
      <w:tr w:rsidR="00980868" w:rsidRPr="00123BBF" w14:paraId="11142457" w14:textId="77777777" w:rsidTr="00123BBF">
        <w:trPr>
          <w:trHeight w:val="283"/>
        </w:trPr>
        <w:tc>
          <w:tcPr>
            <w:tcW w:w="2689" w:type="dxa"/>
          </w:tcPr>
          <w:p w14:paraId="1CEDF6A7" w14:textId="77777777" w:rsidR="00980868" w:rsidRPr="00123BBF" w:rsidRDefault="00980868" w:rsidP="00980868">
            <w:pPr>
              <w:spacing w:line="252" w:lineRule="auto"/>
              <w:rPr>
                <w:b/>
                <w:bCs/>
                <w:sz w:val="24"/>
                <w:szCs w:val="24"/>
              </w:rPr>
            </w:pPr>
            <w:r w:rsidRPr="00123BBF">
              <w:rPr>
                <w:b/>
                <w:bCs/>
                <w:sz w:val="24"/>
                <w:szCs w:val="24"/>
              </w:rPr>
              <w:t>Lock 3: Class-biased recruitment</w:t>
            </w:r>
          </w:p>
        </w:tc>
        <w:tc>
          <w:tcPr>
            <w:tcW w:w="3969" w:type="dxa"/>
          </w:tcPr>
          <w:p w14:paraId="701C24E1" w14:textId="77777777" w:rsidR="00980868" w:rsidRPr="00123BBF" w:rsidRDefault="00980868" w:rsidP="00F07A30">
            <w:pPr>
              <w:spacing w:line="252" w:lineRule="auto"/>
              <w:jc w:val="center"/>
              <w:rPr>
                <w:sz w:val="24"/>
                <w:szCs w:val="24"/>
              </w:rPr>
            </w:pPr>
            <w:r w:rsidRPr="00123BBF">
              <w:rPr>
                <w:color w:val="7030A0"/>
                <w:sz w:val="24"/>
                <w:szCs w:val="24"/>
              </w:rPr>
              <w:t>“I've sat in rooms while other recruitment panel members have mocked the poor clothes of some of the candidates and their ‘bogan’ presentation.”</w:t>
            </w:r>
          </w:p>
        </w:tc>
        <w:tc>
          <w:tcPr>
            <w:tcW w:w="2684" w:type="dxa"/>
          </w:tcPr>
          <w:p w14:paraId="02BFBF22" w14:textId="77777777" w:rsidR="00980868" w:rsidRPr="00123BBF" w:rsidRDefault="00980868" w:rsidP="00980868">
            <w:pPr>
              <w:spacing w:line="252" w:lineRule="auto"/>
              <w:rPr>
                <w:b/>
                <w:bCs/>
                <w:sz w:val="24"/>
                <w:szCs w:val="24"/>
              </w:rPr>
            </w:pPr>
            <w:r w:rsidRPr="00123BBF">
              <w:rPr>
                <w:b/>
                <w:bCs/>
                <w:sz w:val="24"/>
                <w:szCs w:val="24"/>
              </w:rPr>
              <w:t>Key 3: Recruit for class diversity</w:t>
            </w:r>
          </w:p>
        </w:tc>
      </w:tr>
      <w:tr w:rsidR="00980868" w:rsidRPr="00123BBF" w14:paraId="73A10A9F" w14:textId="77777777" w:rsidTr="00123BBF">
        <w:trPr>
          <w:trHeight w:val="283"/>
        </w:trPr>
        <w:tc>
          <w:tcPr>
            <w:tcW w:w="2689" w:type="dxa"/>
          </w:tcPr>
          <w:p w14:paraId="4CC2DECC" w14:textId="77777777" w:rsidR="00980868" w:rsidRPr="00123BBF" w:rsidRDefault="00980868" w:rsidP="00980868">
            <w:pPr>
              <w:spacing w:line="252" w:lineRule="auto"/>
              <w:rPr>
                <w:b/>
                <w:bCs/>
                <w:sz w:val="24"/>
                <w:szCs w:val="24"/>
              </w:rPr>
            </w:pPr>
            <w:r w:rsidRPr="00123BBF">
              <w:rPr>
                <w:b/>
                <w:bCs/>
                <w:sz w:val="24"/>
                <w:szCs w:val="24"/>
              </w:rPr>
              <w:t>Lock 4: Class-biased networks and socialising</w:t>
            </w:r>
          </w:p>
        </w:tc>
        <w:tc>
          <w:tcPr>
            <w:tcW w:w="3969" w:type="dxa"/>
          </w:tcPr>
          <w:p w14:paraId="6AEA03A3" w14:textId="27505EB4" w:rsidR="00980868" w:rsidRPr="00123BBF" w:rsidRDefault="00980868" w:rsidP="00F07A30">
            <w:pPr>
              <w:spacing w:line="252" w:lineRule="auto"/>
              <w:jc w:val="center"/>
              <w:rPr>
                <w:sz w:val="24"/>
                <w:szCs w:val="24"/>
              </w:rPr>
            </w:pPr>
            <w:r w:rsidRPr="00123BBF">
              <w:rPr>
                <w:color w:val="7030A0"/>
                <w:sz w:val="24"/>
                <w:szCs w:val="24"/>
              </w:rPr>
              <w:t>“If you have to choose between attending a work function to allow better opportunities to network and build career building connections or pay the bills – the bills win.”</w:t>
            </w:r>
          </w:p>
        </w:tc>
        <w:tc>
          <w:tcPr>
            <w:tcW w:w="2684" w:type="dxa"/>
          </w:tcPr>
          <w:p w14:paraId="2E9A61A7" w14:textId="77777777" w:rsidR="00980868" w:rsidRPr="00123BBF" w:rsidRDefault="00980868" w:rsidP="00980868">
            <w:pPr>
              <w:spacing w:line="252" w:lineRule="auto"/>
              <w:rPr>
                <w:b/>
                <w:bCs/>
                <w:sz w:val="24"/>
                <w:szCs w:val="24"/>
              </w:rPr>
            </w:pPr>
            <w:r w:rsidRPr="00123BBF">
              <w:rPr>
                <w:b/>
                <w:bCs/>
                <w:sz w:val="24"/>
                <w:szCs w:val="24"/>
              </w:rPr>
              <w:t>Key 4: Get class inclusive on networks and socialising</w:t>
            </w:r>
          </w:p>
        </w:tc>
      </w:tr>
      <w:tr w:rsidR="00980868" w:rsidRPr="00123BBF" w14:paraId="513586A0" w14:textId="77777777" w:rsidTr="00123BBF">
        <w:trPr>
          <w:trHeight w:val="266"/>
        </w:trPr>
        <w:tc>
          <w:tcPr>
            <w:tcW w:w="2689" w:type="dxa"/>
          </w:tcPr>
          <w:p w14:paraId="0421767E" w14:textId="77777777" w:rsidR="00980868" w:rsidRPr="00123BBF" w:rsidRDefault="00980868" w:rsidP="00980868">
            <w:pPr>
              <w:spacing w:line="252" w:lineRule="auto"/>
              <w:rPr>
                <w:b/>
                <w:bCs/>
                <w:sz w:val="24"/>
                <w:szCs w:val="24"/>
              </w:rPr>
            </w:pPr>
            <w:r w:rsidRPr="00123BBF">
              <w:rPr>
                <w:b/>
                <w:bCs/>
                <w:sz w:val="24"/>
                <w:szCs w:val="24"/>
              </w:rPr>
              <w:t>Lock 5: The class ceiling</w:t>
            </w:r>
          </w:p>
        </w:tc>
        <w:tc>
          <w:tcPr>
            <w:tcW w:w="3969" w:type="dxa"/>
          </w:tcPr>
          <w:p w14:paraId="12CB75A6" w14:textId="77777777" w:rsidR="00980868" w:rsidRPr="00123BBF" w:rsidRDefault="00980868" w:rsidP="00F07A30">
            <w:pPr>
              <w:spacing w:line="252" w:lineRule="auto"/>
              <w:jc w:val="center"/>
              <w:rPr>
                <w:sz w:val="24"/>
                <w:szCs w:val="24"/>
              </w:rPr>
            </w:pPr>
            <w:r w:rsidRPr="00123BBF">
              <w:rPr>
                <w:color w:val="7030A0"/>
                <w:sz w:val="24"/>
                <w:szCs w:val="24"/>
              </w:rPr>
              <w:t>“It feels like the people who are promoted quickly seem to come from higher social class than others, they went to private schools, their families are higher class, they live in higher-class suburbs, they have networks with higher class [people].”</w:t>
            </w:r>
          </w:p>
        </w:tc>
        <w:tc>
          <w:tcPr>
            <w:tcW w:w="2684" w:type="dxa"/>
          </w:tcPr>
          <w:p w14:paraId="226D2BC9" w14:textId="77777777" w:rsidR="00980868" w:rsidRPr="00123BBF" w:rsidRDefault="00980868" w:rsidP="00980868">
            <w:pPr>
              <w:spacing w:line="252" w:lineRule="auto"/>
              <w:rPr>
                <w:b/>
                <w:bCs/>
                <w:sz w:val="24"/>
                <w:szCs w:val="24"/>
              </w:rPr>
            </w:pPr>
            <w:r w:rsidRPr="00123BBF">
              <w:rPr>
                <w:b/>
                <w:bCs/>
                <w:sz w:val="24"/>
                <w:szCs w:val="24"/>
              </w:rPr>
              <w:t>Key 5: Crack the class ceiling</w:t>
            </w:r>
          </w:p>
        </w:tc>
      </w:tr>
    </w:tbl>
    <w:p w14:paraId="5FF95AB3" w14:textId="22EA8482" w:rsidR="00324EEB" w:rsidRPr="00C672FA" w:rsidRDefault="005F2E79" w:rsidP="00C672FA">
      <w:pPr>
        <w:spacing w:line="360" w:lineRule="auto"/>
        <w:rPr>
          <w:lang w:val="en-US"/>
        </w:rPr>
      </w:pPr>
      <w:r>
        <w:t xml:space="preserve">DCA </w:t>
      </w:r>
      <w:r w:rsidR="00387E85">
        <w:t xml:space="preserve">will share highlights and insights from this research via our </w:t>
      </w:r>
      <w:r w:rsidR="00552F01">
        <w:t xml:space="preserve">various </w:t>
      </w:r>
      <w:r w:rsidR="00387E85">
        <w:t xml:space="preserve">communications channels. </w:t>
      </w:r>
      <w:r w:rsidR="00552F01">
        <w:t xml:space="preserve">DCA </w:t>
      </w:r>
      <w:r>
        <w:t xml:space="preserve">members can access </w:t>
      </w:r>
      <w:r w:rsidR="00552F01">
        <w:t xml:space="preserve">the full </w:t>
      </w:r>
      <w:r w:rsidR="00082601">
        <w:t xml:space="preserve">Class Inclusion at Work </w:t>
      </w:r>
      <w:r w:rsidR="00552F01">
        <w:t>report</w:t>
      </w:r>
      <w:r w:rsidR="00082601">
        <w:t>,</w:t>
      </w:r>
      <w:r w:rsidR="00552F01">
        <w:t xml:space="preserve"> </w:t>
      </w:r>
      <w:r w:rsidR="00C43DDA">
        <w:t>which details</w:t>
      </w:r>
      <w:r w:rsidR="00552F01">
        <w:t xml:space="preserve"> </w:t>
      </w:r>
      <w:r>
        <w:t xml:space="preserve">practical actions to remove class barriers at work. </w:t>
      </w:r>
    </w:p>
    <w:sectPr w:rsidR="00324EEB" w:rsidRPr="00C672FA">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8C009" w14:textId="77777777" w:rsidR="00BF5F92" w:rsidRDefault="00BF5F92" w:rsidP="00324EEB">
      <w:pPr>
        <w:spacing w:after="0" w:line="240" w:lineRule="auto"/>
      </w:pPr>
      <w:r>
        <w:separator/>
      </w:r>
    </w:p>
  </w:endnote>
  <w:endnote w:type="continuationSeparator" w:id="0">
    <w:p w14:paraId="59CA2FE3" w14:textId="77777777" w:rsidR="00BF5F92" w:rsidRDefault="00BF5F92" w:rsidP="00324EEB">
      <w:pPr>
        <w:spacing w:after="0" w:line="240" w:lineRule="auto"/>
      </w:pPr>
      <w:r>
        <w:continuationSeparator/>
      </w:r>
    </w:p>
  </w:endnote>
  <w:endnote w:id="1">
    <w:p w14:paraId="5716C703" w14:textId="63CF21A6" w:rsidR="004E3852" w:rsidRPr="00123BBF" w:rsidRDefault="004E3852" w:rsidP="004E3852">
      <w:pPr>
        <w:pStyle w:val="EndnoteText"/>
        <w:spacing w:before="40" w:after="40"/>
        <w:rPr>
          <w:sz w:val="24"/>
          <w:szCs w:val="24"/>
        </w:rPr>
      </w:pPr>
      <w:r w:rsidRPr="00123BBF">
        <w:rPr>
          <w:rStyle w:val="EndnoteReference"/>
          <w:sz w:val="24"/>
          <w:szCs w:val="24"/>
        </w:rPr>
        <w:endnoteRef/>
      </w:r>
      <w:r w:rsidR="002C5A19" w:rsidRPr="00123BBF">
        <w:rPr>
          <w:sz w:val="24"/>
          <w:szCs w:val="24"/>
        </w:rPr>
        <w:t xml:space="preserve"> N Hester and E Hehman, “</w:t>
      </w:r>
      <w:hyperlink r:id="rId1" w:history="1">
        <w:r w:rsidR="002C5A19" w:rsidRPr="00123BBF">
          <w:rPr>
            <w:rStyle w:val="Hyperlink"/>
            <w:sz w:val="24"/>
            <w:szCs w:val="24"/>
          </w:rPr>
          <w:t>Dress is a fundamental component of person perception</w:t>
        </w:r>
      </w:hyperlink>
      <w:r w:rsidR="002C5A19" w:rsidRPr="00123BBF">
        <w:rPr>
          <w:sz w:val="24"/>
          <w:szCs w:val="24"/>
        </w:rPr>
        <w:t>”, Personality and Social Psychology Review, 2023, 27(4):414–433.</w:t>
      </w:r>
    </w:p>
  </w:endnote>
  <w:endnote w:id="2">
    <w:p w14:paraId="1FDDA9B0" w14:textId="508E771A" w:rsidR="004E3852" w:rsidRPr="00123BBF" w:rsidRDefault="004E3852" w:rsidP="004E3852">
      <w:pPr>
        <w:pStyle w:val="EndnoteText"/>
        <w:spacing w:before="40" w:after="40"/>
        <w:rPr>
          <w:sz w:val="24"/>
          <w:szCs w:val="24"/>
        </w:rPr>
      </w:pPr>
      <w:r w:rsidRPr="00123BBF">
        <w:rPr>
          <w:rStyle w:val="EndnoteReference"/>
          <w:sz w:val="24"/>
          <w:szCs w:val="24"/>
        </w:rPr>
        <w:endnoteRef/>
      </w:r>
      <w:r w:rsidRPr="00123BBF">
        <w:rPr>
          <w:sz w:val="24"/>
          <w:szCs w:val="24"/>
        </w:rPr>
        <w:t xml:space="preserve"> </w:t>
      </w:r>
      <w:r w:rsidR="00FD5C59" w:rsidRPr="00123BBF">
        <w:rPr>
          <w:rFonts w:ascii="Aptos" w:hAnsi="Aptos" w:cs="Times New Roman"/>
          <w:sz w:val="24"/>
          <w:szCs w:val="24"/>
        </w:rPr>
        <w:t>D Oh, E Shafir and A Todorov, “</w:t>
      </w:r>
      <w:hyperlink r:id="rId2" w:history="1">
        <w:r w:rsidR="00FD5C59" w:rsidRPr="00123BBF">
          <w:rPr>
            <w:rStyle w:val="Hyperlink"/>
            <w:rFonts w:ascii="Aptos" w:hAnsi="Aptos" w:cs="Times New Roman"/>
            <w:sz w:val="24"/>
            <w:szCs w:val="24"/>
          </w:rPr>
          <w:t>Economic status cues from clothes affect perceived competence from faces</w:t>
        </w:r>
      </w:hyperlink>
      <w:r w:rsidR="00FD5C59" w:rsidRPr="00123BBF">
        <w:rPr>
          <w:rFonts w:ascii="Aptos" w:hAnsi="Aptos" w:cs="Times New Roman"/>
          <w:sz w:val="24"/>
          <w:szCs w:val="24"/>
        </w:rPr>
        <w:t xml:space="preserve">”, </w:t>
      </w:r>
      <w:r w:rsidR="00FD5C59" w:rsidRPr="00123BBF">
        <w:rPr>
          <w:rFonts w:ascii="Aptos" w:hAnsi="Aptos" w:cs="Times New Roman"/>
          <w:i/>
          <w:iCs/>
          <w:sz w:val="24"/>
          <w:szCs w:val="24"/>
        </w:rPr>
        <w:t>Nature Human Behaviour</w:t>
      </w:r>
      <w:r w:rsidR="00FD5C59" w:rsidRPr="00123BBF">
        <w:rPr>
          <w:rFonts w:ascii="Aptos" w:hAnsi="Aptos" w:cs="Times New Roman"/>
          <w:sz w:val="24"/>
          <w:szCs w:val="24"/>
        </w:rPr>
        <w:t>, 2019, 4(3):287–293</w:t>
      </w:r>
      <w:r w:rsidR="005C4125" w:rsidRPr="00123BBF">
        <w:rPr>
          <w:rFonts w:ascii="Aptos" w:hAnsi="Aptos" w:cs="Times New Roman"/>
          <w:sz w:val="24"/>
          <w:szCs w:val="24"/>
        </w:rPr>
        <w:t>.</w:t>
      </w:r>
    </w:p>
  </w:endnote>
  <w:endnote w:id="3">
    <w:p w14:paraId="15C3987C" w14:textId="795DB48A" w:rsidR="004E3852" w:rsidRPr="00123BBF" w:rsidRDefault="004E3852" w:rsidP="004E3852">
      <w:pPr>
        <w:pStyle w:val="EndnoteText"/>
        <w:spacing w:before="40" w:after="40"/>
        <w:rPr>
          <w:sz w:val="24"/>
          <w:szCs w:val="24"/>
        </w:rPr>
      </w:pPr>
      <w:r w:rsidRPr="00123BBF">
        <w:rPr>
          <w:rStyle w:val="EndnoteReference"/>
          <w:sz w:val="24"/>
          <w:szCs w:val="24"/>
        </w:rPr>
        <w:endnoteRef/>
      </w:r>
      <w:r w:rsidRPr="00123BBF">
        <w:rPr>
          <w:sz w:val="24"/>
          <w:szCs w:val="24"/>
        </w:rPr>
        <w:t xml:space="preserve"> </w:t>
      </w:r>
      <w:r w:rsidR="005C4125" w:rsidRPr="00123BBF">
        <w:rPr>
          <w:rFonts w:ascii="Aptos" w:hAnsi="Aptos" w:cs="Times New Roman"/>
          <w:sz w:val="24"/>
          <w:szCs w:val="24"/>
        </w:rPr>
        <w:t>B Tranter and R Grant, “</w:t>
      </w:r>
      <w:hyperlink r:id="rId3" w:history="1">
        <w:r w:rsidR="005C4125" w:rsidRPr="00123BBF">
          <w:rPr>
            <w:rStyle w:val="Hyperlink"/>
            <w:rFonts w:ascii="Aptos" w:hAnsi="Aptos" w:cs="Times New Roman"/>
            <w:sz w:val="24"/>
            <w:szCs w:val="24"/>
          </w:rPr>
          <w:t>A class act? Social background and body modifications in Australia</w:t>
        </w:r>
      </w:hyperlink>
      <w:r w:rsidR="005C4125" w:rsidRPr="00123BBF">
        <w:rPr>
          <w:rFonts w:ascii="Aptos" w:hAnsi="Aptos" w:cs="Times New Roman"/>
          <w:sz w:val="24"/>
          <w:szCs w:val="24"/>
        </w:rPr>
        <w:t xml:space="preserve">”, </w:t>
      </w:r>
      <w:r w:rsidR="005C4125" w:rsidRPr="00123BBF">
        <w:rPr>
          <w:rFonts w:ascii="Aptos" w:hAnsi="Aptos" w:cs="Times New Roman"/>
          <w:i/>
          <w:iCs/>
          <w:sz w:val="24"/>
          <w:szCs w:val="24"/>
        </w:rPr>
        <w:t>Journal of Sociology</w:t>
      </w:r>
      <w:r w:rsidR="005C4125" w:rsidRPr="00123BBF">
        <w:rPr>
          <w:rFonts w:ascii="Aptos" w:hAnsi="Aptos" w:cs="Times New Roman"/>
          <w:sz w:val="24"/>
          <w:szCs w:val="24"/>
        </w:rPr>
        <w:t>, 2018, 54(3):412–428.</w:t>
      </w:r>
    </w:p>
  </w:endnote>
  <w:endnote w:id="4">
    <w:p w14:paraId="59D57800" w14:textId="292FE0BD" w:rsidR="00C95FDE" w:rsidRPr="00123BBF" w:rsidRDefault="00C95FDE" w:rsidP="00C95FDE">
      <w:pPr>
        <w:pStyle w:val="EndnoteText"/>
        <w:rPr>
          <w:sz w:val="24"/>
          <w:szCs w:val="24"/>
        </w:rPr>
      </w:pPr>
      <w:r w:rsidRPr="00123BBF">
        <w:rPr>
          <w:rStyle w:val="EndnoteReference"/>
          <w:sz w:val="24"/>
          <w:szCs w:val="24"/>
        </w:rPr>
        <w:endnoteRef/>
      </w:r>
      <w:r w:rsidRPr="00123BBF">
        <w:rPr>
          <w:sz w:val="24"/>
          <w:szCs w:val="24"/>
        </w:rPr>
        <w:t xml:space="preserve"> </w:t>
      </w:r>
      <w:r w:rsidRPr="00123BBF">
        <w:rPr>
          <w:sz w:val="24"/>
          <w:szCs w:val="24"/>
        </w:rPr>
        <w:fldChar w:fldCharType="begin"/>
      </w:r>
      <w:r w:rsidRPr="00123BBF">
        <w:rPr>
          <w:sz w:val="24"/>
          <w:szCs w:val="24"/>
        </w:rPr>
        <w:instrText xml:space="preserve"> ADDIN ZOTERO_ITEM CSL_CITATION {"citationID":"mwp9qBIA","properties":{"formattedCitation":"G Bellavance, \\uc0\\u8216{}The multiplicity of highbrow culture: Taste boundaries among the new upper middle class\\uc0\\u8217{}, in L Hanquinet &amp; M Savage (eds), {\\i{}Routledge International Handbook of the Sociology of Art and Culture}, Routledge, 2015, pp 324\\uc0\\u8211{}336, doi:10.4324/9780203740248.","plainCitation":"G Bellavance, ‘The multiplicity of highbrow culture: Taste boundaries among the new upper middle class’, in L Hanquinet &amp; M Savage (eds), Routledge International Handbook of the Sociology of Art and Culture, Routledge, 2015, pp 324–336, doi:10.4324/9780203740248.","dontUpdate":true,"noteIndex":110},"citationItems":[{"id":337,"uris":["http://zotero.org/groups/5833786/items/AQHI97K3"],"itemData":{"id":337,"type":"chapter","container-title":"Routledge International Handbook of the Sociology of Art and Culture","ISBN":"978-1-135-00889-5","language":"en","note":"DOI: 10.4324/9780203740248","page":"324-336","publisher":"Routledge","source":"DOI.org (Crossref)","title":"The multiplicity of highbrow culture: Taste boundaries among the new upper middle class","URL":"https://www.taylorfrancis.com/books/9781135008895","editor":[{"family":"Hanquinet","given":"Laurie"},{"family":"Savage","given":"Mike"}],"author":[{"family":"Bellavance","given":"Guy"}],"accessed":{"date-parts":[["2025",4,23]]},"issued":{"date-parts":[["2015"]]}}}],"schema":"https://github.com/citation-style-language/schema/raw/master/csl-citation.json"} </w:instrText>
      </w:r>
      <w:r w:rsidRPr="00123BBF">
        <w:rPr>
          <w:sz w:val="24"/>
          <w:szCs w:val="24"/>
        </w:rPr>
        <w:fldChar w:fldCharType="separate"/>
      </w:r>
      <w:r w:rsidRPr="00123BBF">
        <w:rPr>
          <w:rFonts w:ascii="Aptos" w:hAnsi="Aptos" w:cs="Times New Roman"/>
          <w:sz w:val="24"/>
          <w:szCs w:val="24"/>
        </w:rPr>
        <w:t>G Bellavance, “</w:t>
      </w:r>
      <w:hyperlink r:id="rId4" w:history="1">
        <w:r w:rsidRPr="00123BBF">
          <w:rPr>
            <w:rStyle w:val="Hyperlink"/>
            <w:rFonts w:ascii="Aptos" w:hAnsi="Aptos" w:cs="Times New Roman"/>
            <w:sz w:val="24"/>
            <w:szCs w:val="24"/>
          </w:rPr>
          <w:t>The multiplicity of highbrow culture: taste boundaries among the new upper middle class</w:t>
        </w:r>
      </w:hyperlink>
      <w:r w:rsidRPr="00123BBF">
        <w:rPr>
          <w:rFonts w:ascii="Aptos" w:hAnsi="Aptos" w:cs="Times New Roman"/>
          <w:sz w:val="24"/>
          <w:szCs w:val="24"/>
        </w:rPr>
        <w:t xml:space="preserve">”, in L Hanquinet and M Savage (eds), </w:t>
      </w:r>
      <w:r w:rsidRPr="00123BBF">
        <w:rPr>
          <w:rFonts w:ascii="Aptos" w:hAnsi="Aptos" w:cs="Times New Roman"/>
          <w:i/>
          <w:iCs/>
          <w:sz w:val="24"/>
          <w:szCs w:val="24"/>
        </w:rPr>
        <w:t>Routledge international handbook of the sociology of art and culture</w:t>
      </w:r>
      <w:r w:rsidRPr="00123BBF">
        <w:rPr>
          <w:rFonts w:ascii="Aptos" w:hAnsi="Aptos" w:cs="Times New Roman"/>
          <w:sz w:val="24"/>
          <w:szCs w:val="24"/>
        </w:rPr>
        <w:t>, Routledge, 2015, .</w:t>
      </w:r>
      <w:r w:rsidRPr="00123BBF">
        <w:rPr>
          <w:sz w:val="24"/>
          <w:szCs w:val="24"/>
        </w:rPr>
        <w:fldChar w:fldCharType="end"/>
      </w:r>
    </w:p>
  </w:endnote>
  <w:endnote w:id="5">
    <w:p w14:paraId="02590C54" w14:textId="6B61E8A4" w:rsidR="00FD5C59" w:rsidRPr="00420CAB" w:rsidRDefault="00C95FDE" w:rsidP="00C95FDE">
      <w:pPr>
        <w:pStyle w:val="EndnoteText"/>
        <w:spacing w:before="40" w:after="40"/>
      </w:pPr>
      <w:r w:rsidRPr="00123BBF">
        <w:rPr>
          <w:rStyle w:val="EndnoteReference"/>
          <w:sz w:val="24"/>
          <w:szCs w:val="24"/>
        </w:rPr>
        <w:endnoteRef/>
      </w:r>
      <w:r w:rsidRPr="00123BBF">
        <w:rPr>
          <w:sz w:val="24"/>
          <w:szCs w:val="24"/>
        </w:rPr>
        <w:t xml:space="preserve"> </w:t>
      </w:r>
      <w:r w:rsidR="00BC2E72" w:rsidRPr="00123BBF">
        <w:rPr>
          <w:sz w:val="24"/>
          <w:szCs w:val="24"/>
        </w:rPr>
        <w:fldChar w:fldCharType="begin"/>
      </w:r>
      <w:r w:rsidR="00BC2E72" w:rsidRPr="00123BBF">
        <w:rPr>
          <w:sz w:val="24"/>
          <w:szCs w:val="24"/>
        </w:rPr>
        <w:instrText xml:space="preserve"> ADDIN ZOTERO_ITEM CSL_CITATION {"citationID":"kBskCeq1","properties":{"formattedCitation":"BL Beagan, EM Power, and GE Chapman, \\uc0\\u8216{}\\uc0\\u8220{}Eating isn\\uc0\\u8217{}t just swallowing food\\uc0\\u8221{}: Food practices in the context of social class trajectory\\uc0\\u8217{}, {\\i{}Canadian Food Studies / La Revue canadienne des \\uc0\\u233{}tudes sur l\\uc0\\u8217{}alimentation}, 2015, 2(1):75\\uc0\\u8211{}98, doi:10.15353/cfs-rcea.v2i1.50.","plainCitation":"BL Beagan, EM Power, and GE Chapman, ‘“Eating isn’t just swallowing food”: Food practices in the context of social class trajectory’, Canadian Food Studies / La Revue canadienne des études sur l’alimentation, 2015, 2(1):75–98, doi:10.15353/cfs-rcea.v2i1.50.","dontUpdate":true,"noteIndex":85},"citationItems":[{"id":409,"uris":["http://zotero.org/groups/5833786/items/VDHJWT4W"],"itemData":{"id":409,"type":"article-journal","abstract":"Drawing from a qualitative study with 105 families across Canada, this paper focuses on 16 households in which one or more adults experienced significant social class trajectories in their lifetimes. Using semi-structured interviews and two photo-elicitation techniques, adults and teens articulated their perceptions of healthy eating, eating well, conflicts and struggles around food, and typical household food patterns. This analysis examines how habitus from class of origin can influence food dispositions, as well as how participants used food and talk about food to mark symbolic and moral boundaries on the basis of class. In particular, people used discourses of cosmopolitan and omnivorous eating, ethical eating, and healthy eating, as well as the moral virtue of frugality, to align or dis-identify with class of origin or current class location. Our analysis shows that food can be a powerful symbolic means of marking class boundaries.","container-title":"Canadian Food Studies / La Revue canadienne des études sur l'alimentation","DOI":"10.15353/cfs-rcea.v2i1.50","ISSN":"2292-3071","issue":"1","journalAbbreviation":"CanFoodStudies","page":"75-98","source":"DOI.org (Crossref)","title":"“Eating isn’t just swallowing food”: Food practices in the context of social class trajectory","title-short":"“Eating isn’t just swallowing food”","volume":"2","author":[{"family":"Beagan","given":"Brenda L."},{"family":"Power","given":"Elaine M."},{"family":"Chapman","given":"Gwen E."}],"issued":{"date-parts":[["2015",5,2]]}}}],"schema":"https://github.com/citation-style-language/schema/raw/master/csl-citation.json"} </w:instrText>
      </w:r>
      <w:r w:rsidR="00BC2E72" w:rsidRPr="00123BBF">
        <w:rPr>
          <w:sz w:val="24"/>
          <w:szCs w:val="24"/>
        </w:rPr>
        <w:fldChar w:fldCharType="separate"/>
      </w:r>
      <w:r w:rsidR="00BC2E72" w:rsidRPr="00123BBF">
        <w:rPr>
          <w:rFonts w:ascii="Aptos" w:hAnsi="Aptos" w:cs="Times New Roman"/>
          <w:sz w:val="24"/>
          <w:szCs w:val="24"/>
        </w:rPr>
        <w:t>BL Beagan, EM Power and GE Chapman, “</w:t>
      </w:r>
      <w:hyperlink r:id="rId5" w:history="1">
        <w:r w:rsidR="00BC2E72" w:rsidRPr="00123BBF">
          <w:rPr>
            <w:rStyle w:val="Hyperlink"/>
            <w:rFonts w:ascii="Aptos" w:hAnsi="Aptos" w:cs="Times New Roman"/>
            <w:sz w:val="24"/>
            <w:szCs w:val="24"/>
          </w:rPr>
          <w:t>'Eating isn’t just swallowing food': food practices in the context of social class trajectory</w:t>
        </w:r>
      </w:hyperlink>
      <w:r w:rsidR="00BC2E72" w:rsidRPr="00123BBF">
        <w:rPr>
          <w:rFonts w:ascii="Aptos" w:hAnsi="Aptos" w:cs="Times New Roman"/>
          <w:sz w:val="24"/>
          <w:szCs w:val="24"/>
        </w:rPr>
        <w:t xml:space="preserve">”, </w:t>
      </w:r>
      <w:r w:rsidR="00BC2E72" w:rsidRPr="00123BBF">
        <w:rPr>
          <w:rFonts w:ascii="Aptos" w:hAnsi="Aptos" w:cs="Times New Roman"/>
          <w:i/>
          <w:iCs/>
          <w:sz w:val="24"/>
          <w:szCs w:val="24"/>
        </w:rPr>
        <w:t>Canadian Food Studies / La Revue canadienne des études sur l’alimentation</w:t>
      </w:r>
      <w:r w:rsidR="00BC2E72" w:rsidRPr="00123BBF">
        <w:rPr>
          <w:rFonts w:ascii="Aptos" w:hAnsi="Aptos" w:cs="Times New Roman"/>
          <w:sz w:val="24"/>
          <w:szCs w:val="24"/>
        </w:rPr>
        <w:t>, 2015, 2(1):75–98.</w:t>
      </w:r>
      <w:r w:rsidR="00BC2E72" w:rsidRPr="00123BBF">
        <w:rPr>
          <w:sz w:val="24"/>
          <w:szCs w:val="24"/>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02B45" w14:textId="77777777" w:rsidR="00BF5F92" w:rsidRDefault="00BF5F92" w:rsidP="00324EEB">
      <w:pPr>
        <w:spacing w:after="0" w:line="240" w:lineRule="auto"/>
      </w:pPr>
      <w:r>
        <w:separator/>
      </w:r>
    </w:p>
  </w:footnote>
  <w:footnote w:type="continuationSeparator" w:id="0">
    <w:p w14:paraId="76C22304" w14:textId="77777777" w:rsidR="00BF5F92" w:rsidRDefault="00BF5F92" w:rsidP="00324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0E7F"/>
    <w:multiLevelType w:val="hybridMultilevel"/>
    <w:tmpl w:val="BA90C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C13FB"/>
    <w:multiLevelType w:val="hybridMultilevel"/>
    <w:tmpl w:val="83B42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FB2F6C"/>
    <w:multiLevelType w:val="hybridMultilevel"/>
    <w:tmpl w:val="00CA7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24669BC"/>
    <w:multiLevelType w:val="hybridMultilevel"/>
    <w:tmpl w:val="387C6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349656">
    <w:abstractNumId w:val="3"/>
  </w:num>
  <w:num w:numId="2" w16cid:durableId="615795309">
    <w:abstractNumId w:val="1"/>
  </w:num>
  <w:num w:numId="3" w16cid:durableId="584724139">
    <w:abstractNumId w:val="2"/>
  </w:num>
  <w:num w:numId="4" w16cid:durableId="131860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5E0"/>
    <w:rsid w:val="00017BC7"/>
    <w:rsid w:val="00023141"/>
    <w:rsid w:val="0002387C"/>
    <w:rsid w:val="00030C06"/>
    <w:rsid w:val="00042327"/>
    <w:rsid w:val="0005195F"/>
    <w:rsid w:val="00054B15"/>
    <w:rsid w:val="00055D6B"/>
    <w:rsid w:val="00082601"/>
    <w:rsid w:val="0008352F"/>
    <w:rsid w:val="000926C2"/>
    <w:rsid w:val="00092C59"/>
    <w:rsid w:val="00095512"/>
    <w:rsid w:val="00097AE4"/>
    <w:rsid w:val="000A0EEA"/>
    <w:rsid w:val="000A4068"/>
    <w:rsid w:val="000B24BE"/>
    <w:rsid w:val="001124D0"/>
    <w:rsid w:val="001215E0"/>
    <w:rsid w:val="00123BBF"/>
    <w:rsid w:val="00141484"/>
    <w:rsid w:val="00171B70"/>
    <w:rsid w:val="001901D3"/>
    <w:rsid w:val="001919CD"/>
    <w:rsid w:val="00191F23"/>
    <w:rsid w:val="001B12CA"/>
    <w:rsid w:val="001B57D0"/>
    <w:rsid w:val="001D44BB"/>
    <w:rsid w:val="001E00CF"/>
    <w:rsid w:val="001E5F90"/>
    <w:rsid w:val="001F02B1"/>
    <w:rsid w:val="001F4259"/>
    <w:rsid w:val="0020513F"/>
    <w:rsid w:val="002267DB"/>
    <w:rsid w:val="002351CB"/>
    <w:rsid w:val="00241150"/>
    <w:rsid w:val="00246E48"/>
    <w:rsid w:val="00247931"/>
    <w:rsid w:val="00250A0B"/>
    <w:rsid w:val="0028591D"/>
    <w:rsid w:val="002924F0"/>
    <w:rsid w:val="002B08D5"/>
    <w:rsid w:val="002C026A"/>
    <w:rsid w:val="002C5A19"/>
    <w:rsid w:val="002D7749"/>
    <w:rsid w:val="002E3E0B"/>
    <w:rsid w:val="00302951"/>
    <w:rsid w:val="003136A7"/>
    <w:rsid w:val="00317472"/>
    <w:rsid w:val="00324EEB"/>
    <w:rsid w:val="003322DD"/>
    <w:rsid w:val="00335493"/>
    <w:rsid w:val="003403CE"/>
    <w:rsid w:val="003414C9"/>
    <w:rsid w:val="00345C35"/>
    <w:rsid w:val="00346BDA"/>
    <w:rsid w:val="003506B2"/>
    <w:rsid w:val="00352BDF"/>
    <w:rsid w:val="0036210A"/>
    <w:rsid w:val="00387E85"/>
    <w:rsid w:val="00393328"/>
    <w:rsid w:val="003B194B"/>
    <w:rsid w:val="003B4187"/>
    <w:rsid w:val="003B4813"/>
    <w:rsid w:val="003B7F7C"/>
    <w:rsid w:val="003C0A4F"/>
    <w:rsid w:val="003E1ADE"/>
    <w:rsid w:val="003F704D"/>
    <w:rsid w:val="00423D54"/>
    <w:rsid w:val="0045400E"/>
    <w:rsid w:val="0045770D"/>
    <w:rsid w:val="004624E5"/>
    <w:rsid w:val="00482FBD"/>
    <w:rsid w:val="0049242F"/>
    <w:rsid w:val="004A64C4"/>
    <w:rsid w:val="004C62AF"/>
    <w:rsid w:val="004D1931"/>
    <w:rsid w:val="004D19C5"/>
    <w:rsid w:val="004E3852"/>
    <w:rsid w:val="004E38C3"/>
    <w:rsid w:val="004F14AE"/>
    <w:rsid w:val="004F5165"/>
    <w:rsid w:val="00515951"/>
    <w:rsid w:val="00525D6C"/>
    <w:rsid w:val="005309C7"/>
    <w:rsid w:val="00552D66"/>
    <w:rsid w:val="00552F01"/>
    <w:rsid w:val="00553E6A"/>
    <w:rsid w:val="005B49DA"/>
    <w:rsid w:val="005C4125"/>
    <w:rsid w:val="005D50A9"/>
    <w:rsid w:val="005F2E79"/>
    <w:rsid w:val="005F44E1"/>
    <w:rsid w:val="00616AAA"/>
    <w:rsid w:val="00627DE5"/>
    <w:rsid w:val="006335CF"/>
    <w:rsid w:val="006368B6"/>
    <w:rsid w:val="0065675D"/>
    <w:rsid w:val="0067742B"/>
    <w:rsid w:val="006842B1"/>
    <w:rsid w:val="00687FE3"/>
    <w:rsid w:val="006A4796"/>
    <w:rsid w:val="006A608A"/>
    <w:rsid w:val="006A675B"/>
    <w:rsid w:val="006B1BC1"/>
    <w:rsid w:val="006B5BE4"/>
    <w:rsid w:val="006E2BC8"/>
    <w:rsid w:val="006E4671"/>
    <w:rsid w:val="006F4838"/>
    <w:rsid w:val="00706F9A"/>
    <w:rsid w:val="00710E89"/>
    <w:rsid w:val="00736C28"/>
    <w:rsid w:val="00746963"/>
    <w:rsid w:val="00751118"/>
    <w:rsid w:val="007517C4"/>
    <w:rsid w:val="007569ED"/>
    <w:rsid w:val="00762FE1"/>
    <w:rsid w:val="007A1753"/>
    <w:rsid w:val="007A1902"/>
    <w:rsid w:val="007C5707"/>
    <w:rsid w:val="007D5B1C"/>
    <w:rsid w:val="007F1024"/>
    <w:rsid w:val="00801209"/>
    <w:rsid w:val="008014E3"/>
    <w:rsid w:val="00823AD3"/>
    <w:rsid w:val="008405B7"/>
    <w:rsid w:val="00843B24"/>
    <w:rsid w:val="00866359"/>
    <w:rsid w:val="00886271"/>
    <w:rsid w:val="00887336"/>
    <w:rsid w:val="00891235"/>
    <w:rsid w:val="008C0BEA"/>
    <w:rsid w:val="008C1E60"/>
    <w:rsid w:val="008C3CAE"/>
    <w:rsid w:val="008E3AB0"/>
    <w:rsid w:val="00922C19"/>
    <w:rsid w:val="0095737B"/>
    <w:rsid w:val="0096666C"/>
    <w:rsid w:val="00980868"/>
    <w:rsid w:val="009A21CE"/>
    <w:rsid w:val="009B5705"/>
    <w:rsid w:val="009D18D2"/>
    <w:rsid w:val="009D5BD5"/>
    <w:rsid w:val="009E12F2"/>
    <w:rsid w:val="009F4F9C"/>
    <w:rsid w:val="009F62F9"/>
    <w:rsid w:val="00A044FF"/>
    <w:rsid w:val="00A241E2"/>
    <w:rsid w:val="00A26672"/>
    <w:rsid w:val="00A36EB4"/>
    <w:rsid w:val="00A44020"/>
    <w:rsid w:val="00A50EE1"/>
    <w:rsid w:val="00A5623D"/>
    <w:rsid w:val="00AA2E5A"/>
    <w:rsid w:val="00AC4E7E"/>
    <w:rsid w:val="00AC6E33"/>
    <w:rsid w:val="00AD1295"/>
    <w:rsid w:val="00AE6389"/>
    <w:rsid w:val="00AF05ED"/>
    <w:rsid w:val="00AF4C66"/>
    <w:rsid w:val="00B14C08"/>
    <w:rsid w:val="00B24AC6"/>
    <w:rsid w:val="00B33DE2"/>
    <w:rsid w:val="00B35978"/>
    <w:rsid w:val="00B373C8"/>
    <w:rsid w:val="00B95848"/>
    <w:rsid w:val="00B96C24"/>
    <w:rsid w:val="00BA3D72"/>
    <w:rsid w:val="00BC1245"/>
    <w:rsid w:val="00BC2E72"/>
    <w:rsid w:val="00BD26A6"/>
    <w:rsid w:val="00BE19BE"/>
    <w:rsid w:val="00BF5F92"/>
    <w:rsid w:val="00C10317"/>
    <w:rsid w:val="00C14824"/>
    <w:rsid w:val="00C26D2E"/>
    <w:rsid w:val="00C31567"/>
    <w:rsid w:val="00C3557E"/>
    <w:rsid w:val="00C35603"/>
    <w:rsid w:val="00C43DDA"/>
    <w:rsid w:val="00C52A3E"/>
    <w:rsid w:val="00C672FA"/>
    <w:rsid w:val="00C843E6"/>
    <w:rsid w:val="00C95FDE"/>
    <w:rsid w:val="00CA0F19"/>
    <w:rsid w:val="00CB0163"/>
    <w:rsid w:val="00CB2A17"/>
    <w:rsid w:val="00CE1775"/>
    <w:rsid w:val="00CE40A1"/>
    <w:rsid w:val="00CE72BF"/>
    <w:rsid w:val="00CF6C70"/>
    <w:rsid w:val="00CF7550"/>
    <w:rsid w:val="00D570A8"/>
    <w:rsid w:val="00D63217"/>
    <w:rsid w:val="00D712E4"/>
    <w:rsid w:val="00D841BA"/>
    <w:rsid w:val="00D945EA"/>
    <w:rsid w:val="00D963A4"/>
    <w:rsid w:val="00DA26DC"/>
    <w:rsid w:val="00DB677C"/>
    <w:rsid w:val="00DE464E"/>
    <w:rsid w:val="00DE7EEA"/>
    <w:rsid w:val="00E30B8C"/>
    <w:rsid w:val="00E4615B"/>
    <w:rsid w:val="00E80E48"/>
    <w:rsid w:val="00E91B52"/>
    <w:rsid w:val="00EA5DF0"/>
    <w:rsid w:val="00EC23F5"/>
    <w:rsid w:val="00EC554C"/>
    <w:rsid w:val="00EC7775"/>
    <w:rsid w:val="00ED13FE"/>
    <w:rsid w:val="00EE78F8"/>
    <w:rsid w:val="00EF478E"/>
    <w:rsid w:val="00F07A30"/>
    <w:rsid w:val="00F2787F"/>
    <w:rsid w:val="00F30A80"/>
    <w:rsid w:val="00F53F1D"/>
    <w:rsid w:val="00F571B1"/>
    <w:rsid w:val="00F75D0E"/>
    <w:rsid w:val="00F77BBB"/>
    <w:rsid w:val="00F87F67"/>
    <w:rsid w:val="00F960AB"/>
    <w:rsid w:val="00FA4610"/>
    <w:rsid w:val="00FB65CB"/>
    <w:rsid w:val="00FD5C59"/>
    <w:rsid w:val="00FD7D8D"/>
    <w:rsid w:val="00FF503A"/>
    <w:rsid w:val="028FB253"/>
    <w:rsid w:val="03257ACA"/>
    <w:rsid w:val="044FD6D5"/>
    <w:rsid w:val="0515BDE8"/>
    <w:rsid w:val="05C5CDF8"/>
    <w:rsid w:val="09AA8BE1"/>
    <w:rsid w:val="0C186F92"/>
    <w:rsid w:val="0E59DF20"/>
    <w:rsid w:val="1440055C"/>
    <w:rsid w:val="14742892"/>
    <w:rsid w:val="1B9CE6F9"/>
    <w:rsid w:val="1CAC7211"/>
    <w:rsid w:val="23F10D9E"/>
    <w:rsid w:val="241BEC9D"/>
    <w:rsid w:val="29AEFC73"/>
    <w:rsid w:val="2B64A3E3"/>
    <w:rsid w:val="2BBD0849"/>
    <w:rsid w:val="2D467249"/>
    <w:rsid w:val="2F11F30C"/>
    <w:rsid w:val="33C6A34B"/>
    <w:rsid w:val="370CE9D8"/>
    <w:rsid w:val="3D20FB5C"/>
    <w:rsid w:val="3E5FE1C1"/>
    <w:rsid w:val="412B3D88"/>
    <w:rsid w:val="4271588D"/>
    <w:rsid w:val="449A10E3"/>
    <w:rsid w:val="48CFC2C8"/>
    <w:rsid w:val="4A8AF328"/>
    <w:rsid w:val="4FB54451"/>
    <w:rsid w:val="5371510F"/>
    <w:rsid w:val="57EE8583"/>
    <w:rsid w:val="5A6DB9C6"/>
    <w:rsid w:val="5C58A158"/>
    <w:rsid w:val="5E743ACE"/>
    <w:rsid w:val="60F33898"/>
    <w:rsid w:val="6C62B0BB"/>
    <w:rsid w:val="71547E51"/>
    <w:rsid w:val="762B049D"/>
    <w:rsid w:val="7DC079FE"/>
    <w:rsid w:val="7F04F0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0C8E1"/>
  <w15:chartTrackingRefBased/>
  <w15:docId w15:val="{AE374A0E-70E0-483A-90E9-270E11A0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1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5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5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5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5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5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5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5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5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15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5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5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5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5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5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5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5E0"/>
    <w:rPr>
      <w:rFonts w:eastAsiaTheme="majorEastAsia" w:cstheme="majorBidi"/>
      <w:color w:val="272727" w:themeColor="text1" w:themeTint="D8"/>
    </w:rPr>
  </w:style>
  <w:style w:type="paragraph" w:styleId="Title">
    <w:name w:val="Title"/>
    <w:basedOn w:val="Normal"/>
    <w:next w:val="Normal"/>
    <w:link w:val="TitleChar"/>
    <w:uiPriority w:val="10"/>
    <w:qFormat/>
    <w:rsid w:val="00121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5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5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5E0"/>
    <w:pPr>
      <w:spacing w:before="160"/>
      <w:jc w:val="center"/>
    </w:pPr>
    <w:rPr>
      <w:i/>
      <w:iCs/>
      <w:color w:val="404040" w:themeColor="text1" w:themeTint="BF"/>
    </w:rPr>
  </w:style>
  <w:style w:type="character" w:customStyle="1" w:styleId="QuoteChar">
    <w:name w:val="Quote Char"/>
    <w:basedOn w:val="DefaultParagraphFont"/>
    <w:link w:val="Quote"/>
    <w:uiPriority w:val="29"/>
    <w:rsid w:val="001215E0"/>
    <w:rPr>
      <w:i/>
      <w:iCs/>
      <w:color w:val="404040" w:themeColor="text1" w:themeTint="BF"/>
    </w:rPr>
  </w:style>
  <w:style w:type="paragraph" w:styleId="ListParagraph">
    <w:name w:val="List Paragraph"/>
    <w:basedOn w:val="Normal"/>
    <w:link w:val="ListParagraphChar"/>
    <w:uiPriority w:val="34"/>
    <w:qFormat/>
    <w:rsid w:val="001215E0"/>
    <w:pPr>
      <w:ind w:left="720"/>
      <w:contextualSpacing/>
    </w:pPr>
  </w:style>
  <w:style w:type="character" w:styleId="IntenseEmphasis">
    <w:name w:val="Intense Emphasis"/>
    <w:basedOn w:val="DefaultParagraphFont"/>
    <w:uiPriority w:val="21"/>
    <w:qFormat/>
    <w:rsid w:val="001215E0"/>
    <w:rPr>
      <w:i/>
      <w:iCs/>
      <w:color w:val="0F4761" w:themeColor="accent1" w:themeShade="BF"/>
    </w:rPr>
  </w:style>
  <w:style w:type="paragraph" w:styleId="IntenseQuote">
    <w:name w:val="Intense Quote"/>
    <w:basedOn w:val="Normal"/>
    <w:next w:val="Normal"/>
    <w:link w:val="IntenseQuoteChar"/>
    <w:uiPriority w:val="30"/>
    <w:qFormat/>
    <w:rsid w:val="00121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5E0"/>
    <w:rPr>
      <w:i/>
      <w:iCs/>
      <w:color w:val="0F4761" w:themeColor="accent1" w:themeShade="BF"/>
    </w:rPr>
  </w:style>
  <w:style w:type="character" w:styleId="IntenseReference">
    <w:name w:val="Intense Reference"/>
    <w:basedOn w:val="DefaultParagraphFont"/>
    <w:uiPriority w:val="32"/>
    <w:qFormat/>
    <w:rsid w:val="001215E0"/>
    <w:rPr>
      <w:b/>
      <w:bCs/>
      <w:smallCaps/>
      <w:color w:val="0F4761" w:themeColor="accent1" w:themeShade="BF"/>
      <w:spacing w:val="5"/>
    </w:rPr>
  </w:style>
  <w:style w:type="character" w:styleId="Hyperlink">
    <w:name w:val="Hyperlink"/>
    <w:basedOn w:val="DefaultParagraphFont"/>
    <w:uiPriority w:val="99"/>
    <w:unhideWhenUsed/>
    <w:rsid w:val="00324EEB"/>
    <w:rPr>
      <w:color w:val="467886" w:themeColor="hyperlink"/>
      <w:u w:val="single"/>
    </w:rPr>
  </w:style>
  <w:style w:type="paragraph" w:styleId="EndnoteText">
    <w:name w:val="endnote text"/>
    <w:basedOn w:val="Normal"/>
    <w:link w:val="EndnoteTextChar"/>
    <w:uiPriority w:val="99"/>
    <w:unhideWhenUsed/>
    <w:rsid w:val="00324EEB"/>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rsid w:val="00324EEB"/>
    <w:rPr>
      <w:kern w:val="0"/>
      <w:sz w:val="20"/>
      <w:szCs w:val="20"/>
      <w14:ligatures w14:val="none"/>
    </w:rPr>
  </w:style>
  <w:style w:type="character" w:styleId="EndnoteReference">
    <w:name w:val="endnote reference"/>
    <w:basedOn w:val="DefaultParagraphFont"/>
    <w:uiPriority w:val="99"/>
    <w:unhideWhenUsed/>
    <w:rsid w:val="00324EEB"/>
    <w:rPr>
      <w:vertAlign w:val="superscript"/>
    </w:rPr>
  </w:style>
  <w:style w:type="character" w:customStyle="1" w:styleId="ListParagraphChar">
    <w:name w:val="List Paragraph Char"/>
    <w:basedOn w:val="DefaultParagraphFont"/>
    <w:link w:val="ListParagraph"/>
    <w:uiPriority w:val="34"/>
    <w:locked/>
    <w:rsid w:val="00324EEB"/>
  </w:style>
  <w:style w:type="paragraph" w:customStyle="1" w:styleId="Classquotes">
    <w:name w:val="Class quotes"/>
    <w:basedOn w:val="Normal"/>
    <w:link w:val="ClassquotesChar"/>
    <w:qFormat/>
    <w:rsid w:val="00324EEB"/>
    <w:pPr>
      <w:spacing w:before="120" w:after="120" w:line="259" w:lineRule="auto"/>
      <w:jc w:val="center"/>
    </w:pPr>
    <w:rPr>
      <w:rFonts w:ascii="Aptos" w:hAnsi="Aptos"/>
      <w:color w:val="7030A0"/>
      <w:szCs w:val="22"/>
    </w:rPr>
  </w:style>
  <w:style w:type="character" w:customStyle="1" w:styleId="ClassquotesChar">
    <w:name w:val="Class quotes Char"/>
    <w:basedOn w:val="DefaultParagraphFont"/>
    <w:link w:val="Classquotes"/>
    <w:rsid w:val="00324EEB"/>
    <w:rPr>
      <w:rFonts w:ascii="Aptos" w:hAnsi="Aptos"/>
      <w:color w:val="7030A0"/>
      <w:szCs w:val="22"/>
    </w:rPr>
  </w:style>
  <w:style w:type="character" w:styleId="CommentReference">
    <w:name w:val="annotation reference"/>
    <w:basedOn w:val="DefaultParagraphFont"/>
    <w:uiPriority w:val="99"/>
    <w:unhideWhenUsed/>
    <w:rsid w:val="00324EEB"/>
    <w:rPr>
      <w:sz w:val="16"/>
      <w:szCs w:val="16"/>
    </w:rPr>
  </w:style>
  <w:style w:type="paragraph" w:styleId="CommentText">
    <w:name w:val="annotation text"/>
    <w:basedOn w:val="Normal"/>
    <w:link w:val="CommentTextChar"/>
    <w:uiPriority w:val="99"/>
    <w:unhideWhenUsed/>
    <w:rsid w:val="00324EEB"/>
    <w:pPr>
      <w:spacing w:line="240" w:lineRule="auto"/>
    </w:pPr>
    <w:rPr>
      <w:sz w:val="20"/>
      <w:szCs w:val="20"/>
    </w:rPr>
  </w:style>
  <w:style w:type="character" w:customStyle="1" w:styleId="CommentTextChar">
    <w:name w:val="Comment Text Char"/>
    <w:basedOn w:val="DefaultParagraphFont"/>
    <w:link w:val="CommentText"/>
    <w:uiPriority w:val="99"/>
    <w:rsid w:val="00324EEB"/>
    <w:rPr>
      <w:sz w:val="20"/>
      <w:szCs w:val="20"/>
    </w:rPr>
  </w:style>
  <w:style w:type="table" w:styleId="TableGrid">
    <w:name w:val="Table Grid"/>
    <w:basedOn w:val="TableNormal"/>
    <w:uiPriority w:val="39"/>
    <w:rsid w:val="00324EE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80868"/>
    <w:pPr>
      <w:spacing w:after="0" w:line="240" w:lineRule="auto"/>
    </w:pPr>
    <w:rPr>
      <w:sz w:val="20"/>
      <w:szCs w:val="20"/>
    </w:rPr>
  </w:style>
  <w:style w:type="character" w:customStyle="1" w:styleId="FootnoteTextChar">
    <w:name w:val="Footnote Text Char"/>
    <w:basedOn w:val="DefaultParagraphFont"/>
    <w:link w:val="FootnoteText"/>
    <w:uiPriority w:val="99"/>
    <w:rsid w:val="00980868"/>
    <w:rPr>
      <w:sz w:val="20"/>
      <w:szCs w:val="20"/>
    </w:rPr>
  </w:style>
  <w:style w:type="character" w:styleId="FootnoteReference">
    <w:name w:val="footnote reference"/>
    <w:basedOn w:val="DefaultParagraphFont"/>
    <w:uiPriority w:val="99"/>
    <w:semiHidden/>
    <w:unhideWhenUsed/>
    <w:rsid w:val="00980868"/>
    <w:rPr>
      <w:vertAlign w:val="superscript"/>
    </w:rPr>
  </w:style>
  <w:style w:type="paragraph" w:styleId="Header">
    <w:name w:val="header"/>
    <w:basedOn w:val="Normal"/>
    <w:link w:val="HeaderChar"/>
    <w:uiPriority w:val="99"/>
    <w:semiHidden/>
    <w:unhideWhenUsed/>
    <w:rsid w:val="0051595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5951"/>
  </w:style>
  <w:style w:type="paragraph" w:styleId="Footer">
    <w:name w:val="footer"/>
    <w:basedOn w:val="Normal"/>
    <w:link w:val="FooterChar"/>
    <w:uiPriority w:val="99"/>
    <w:semiHidden/>
    <w:unhideWhenUsed/>
    <w:rsid w:val="0051595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15951"/>
  </w:style>
  <w:style w:type="paragraph" w:styleId="CommentSubject">
    <w:name w:val="annotation subject"/>
    <w:basedOn w:val="CommentText"/>
    <w:next w:val="CommentText"/>
    <w:link w:val="CommentSubjectChar"/>
    <w:uiPriority w:val="99"/>
    <w:semiHidden/>
    <w:unhideWhenUsed/>
    <w:rsid w:val="005F2E79"/>
    <w:rPr>
      <w:b/>
      <w:bCs/>
    </w:rPr>
  </w:style>
  <w:style w:type="character" w:customStyle="1" w:styleId="CommentSubjectChar">
    <w:name w:val="Comment Subject Char"/>
    <w:basedOn w:val="CommentTextChar"/>
    <w:link w:val="CommentSubject"/>
    <w:uiPriority w:val="99"/>
    <w:semiHidden/>
    <w:rsid w:val="005F2E79"/>
    <w:rPr>
      <w:b/>
      <w:bCs/>
      <w:sz w:val="20"/>
      <w:szCs w:val="20"/>
    </w:rPr>
  </w:style>
  <w:style w:type="character" w:styleId="UnresolvedMention">
    <w:name w:val="Unresolved Mention"/>
    <w:basedOn w:val="DefaultParagraphFont"/>
    <w:uiPriority w:val="99"/>
    <w:semiHidden/>
    <w:unhideWhenUsed/>
    <w:rsid w:val="00FD5C59"/>
    <w:rPr>
      <w:color w:val="605E5C"/>
      <w:shd w:val="clear" w:color="auto" w:fill="E1DFDD"/>
    </w:rPr>
  </w:style>
  <w:style w:type="paragraph" w:styleId="Revision">
    <w:name w:val="Revision"/>
    <w:hidden/>
    <w:uiPriority w:val="99"/>
    <w:semiHidden/>
    <w:rsid w:val="00B373C8"/>
    <w:pPr>
      <w:spacing w:after="0" w:line="240" w:lineRule="auto"/>
    </w:pPr>
  </w:style>
  <w:style w:type="character" w:styleId="Mention">
    <w:name w:val="Mention"/>
    <w:basedOn w:val="DefaultParagraphFont"/>
    <w:uiPriority w:val="99"/>
    <w:unhideWhenUsed/>
    <w:rsid w:val="003B7F7C"/>
    <w:rPr>
      <w:color w:val="2B579A"/>
      <w:shd w:val="clear" w:color="auto" w:fill="E1DFDD"/>
    </w:rPr>
  </w:style>
  <w:style w:type="paragraph" w:styleId="Caption">
    <w:name w:val="caption"/>
    <w:basedOn w:val="Normal"/>
    <w:next w:val="Normal"/>
    <w:uiPriority w:val="35"/>
    <w:unhideWhenUsed/>
    <w:qFormat/>
    <w:rsid w:val="00123BBF"/>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3" Type="http://schemas.openxmlformats.org/officeDocument/2006/relationships/hyperlink" Target="http://doi.org/10.1177/1440783318755017" TargetMode="External"/><Relationship Id="rId2" Type="http://schemas.openxmlformats.org/officeDocument/2006/relationships/hyperlink" Target="http://doi.org/10.1038/s41562-019-0782-4" TargetMode="External"/><Relationship Id="rId1" Type="http://schemas.openxmlformats.org/officeDocument/2006/relationships/hyperlink" Target="http://doi.org/10.1177/10888683231157961" TargetMode="External"/><Relationship Id="rId5" Type="http://schemas.openxmlformats.org/officeDocument/2006/relationships/hyperlink" Target="http://doi.org/10.15353/cfs-rcea.v2i1.50" TargetMode="External"/><Relationship Id="rId4" Type="http://schemas.openxmlformats.org/officeDocument/2006/relationships/hyperlink" Target="http://doi.org/10.4324/9780203740248" TargetMode="External"/></Relationships>
</file>

<file path=word/documenttasks/documenttasks1.xml><?xml version="1.0" encoding="utf-8"?>
<t:Tasks xmlns:t="http://schemas.microsoft.com/office/tasks/2019/documenttasks" xmlns:oel="http://schemas.microsoft.com/office/2019/extlst">
  <t:Task id="{C710EDFD-87BA-45AE-B4C0-46BB22A0067B}">
    <t:Anchor>
      <t:Comment id="746463365"/>
    </t:Anchor>
    <t:History>
      <t:Event id="{AAD5F246-2718-487F-9F8E-BF19F5EA38F9}" time="2025-09-15T05:58:52.247Z">
        <t:Attribution userId="S::Jenny@dca.org.au::e54e6b0c-ab22-4949-ac39-d8c48da8af71" userProvider="AD" userName="Jenny Mina (she/her)"/>
        <t:Anchor>
          <t:Comment id="1109369187"/>
        </t:Anchor>
        <t:Create/>
      </t:Event>
      <t:Event id="{37AA165B-E729-4B98-9DD3-0973B264A3D2}" time="2025-09-15T05:58:52.247Z">
        <t:Attribution userId="S::Jenny@dca.org.au::e54e6b0c-ab22-4949-ac39-d8c48da8af71" userProvider="AD" userName="Jenny Mina (she/her)"/>
        <t:Anchor>
          <t:Comment id="1109369187"/>
        </t:Anchor>
        <t:Assign userId="S::catherine@dca.org.au::af1f5d6f-dcad-485c-a47b-b9645f1eb9c0" userProvider="AD" userName="Catherine Petterson (she/her)"/>
      </t:Event>
      <t:Event id="{E6BB586E-BF9E-4DA5-862B-B260611704EC}" time="2025-09-15T05:58:52.247Z">
        <t:Attribution userId="S::Jenny@dca.org.au::e54e6b0c-ab22-4949-ac39-d8c48da8af71" userProvider="AD" userName="Jenny Mina (she/her)"/>
        <t:Anchor>
          <t:Comment id="1109369187"/>
        </t:Anchor>
        <t:SetTitle title="@Catherine Petterson (she/her) as the custodian of our charitable cause agreement, I’d love your eye on this suggestion above! "/>
      </t:Event>
      <t:Event id="{13985377-655E-4266-A04B-30BF0EB2A126}" time="2025-09-16T01:16:04.583Z">
        <t:Attribution userId="S::rose@dca.org.au::aec340ff-37a9-4082-8f0a-71ac65c54020" userProvider="AD" userName="Rose D’Almada-Remedios (she/h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80E1D1C4A7774FA96DE147EA198403" ma:contentTypeVersion="17" ma:contentTypeDescription="Create a new document." ma:contentTypeScope="" ma:versionID="92f45437f694197c1fa6c64a1e20133a">
  <xsd:schema xmlns:xsd="http://www.w3.org/2001/XMLSchema" xmlns:xs="http://www.w3.org/2001/XMLSchema" xmlns:p="http://schemas.microsoft.com/office/2006/metadata/properties" xmlns:ns2="a2f75d52-bbdb-4487-84b0-bad780082e99" xmlns:ns3="23d324c5-bd47-4845-b8bb-a13d10331d6d" xmlns:ns4="c838b492-c0da-4a78-9bd2-c5f1c59c29f5" targetNamespace="http://schemas.microsoft.com/office/2006/metadata/properties" ma:root="true" ma:fieldsID="44fb45c582a51531beafb2db9fefd83a" ns2:_="" ns3:_="" ns4:_="">
    <xsd:import namespace="a2f75d52-bbdb-4487-84b0-bad780082e99"/>
    <xsd:import namespace="23d324c5-bd47-4845-b8bb-a13d10331d6d"/>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75d52-bbdb-4487-84b0-bad78008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324c5-bd47-4845-b8bb-a13d10331d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838b492-c0da-4a78-9bd2-c5f1c59c29f5" xsi:nil="true"/>
    <lcf76f155ced4ddcb4097134ff3c332f xmlns="a2f75d52-bbdb-4487-84b0-bad780082e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A65833-8321-4402-A8CC-3376B40BF800}">
  <ds:schemaRefs>
    <ds:schemaRef ds:uri="http://schemas.microsoft.com/sharepoint/v3/contenttype/forms"/>
  </ds:schemaRefs>
</ds:datastoreItem>
</file>

<file path=customXml/itemProps2.xml><?xml version="1.0" encoding="utf-8"?>
<ds:datastoreItem xmlns:ds="http://schemas.openxmlformats.org/officeDocument/2006/customXml" ds:itemID="{AC9FB99F-A9CA-4279-B7CE-C7B4A76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75d52-bbdb-4487-84b0-bad780082e99"/>
    <ds:schemaRef ds:uri="23d324c5-bd47-4845-b8bb-a13d10331d6d"/>
    <ds:schemaRef ds:uri="c838b492-c0da-4a78-9bd2-c5f1c59c2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F134A2-8698-45E1-B148-C31EA7429B84}">
  <ds:schemaRefs>
    <ds:schemaRef ds:uri="http://schemas.openxmlformats.org/officeDocument/2006/bibliography"/>
  </ds:schemaRefs>
</ds:datastoreItem>
</file>

<file path=customXml/itemProps4.xml><?xml version="1.0" encoding="utf-8"?>
<ds:datastoreItem xmlns:ds="http://schemas.openxmlformats.org/officeDocument/2006/customXml" ds:itemID="{C7AD64B1-7BF4-452F-9DEF-90AF692DFEFF}">
  <ds:schemaRefs>
    <ds:schemaRef ds:uri="http://schemas.microsoft.com/office/2006/metadata/properties"/>
    <ds:schemaRef ds:uri="http://schemas.microsoft.com/office/infopath/2007/PartnerControls"/>
    <ds:schemaRef ds:uri="c838b492-c0da-4a78-9bd2-c5f1c59c29f5"/>
    <ds:schemaRef ds:uri="a2f75d52-bbdb-4487-84b0-bad780082e9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599</Words>
  <Characters>3419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Links>
    <vt:vector size="30" baseType="variant">
      <vt:variant>
        <vt:i4>5636107</vt:i4>
      </vt:variant>
      <vt:variant>
        <vt:i4>17</vt:i4>
      </vt:variant>
      <vt:variant>
        <vt:i4>0</vt:i4>
      </vt:variant>
      <vt:variant>
        <vt:i4>5</vt:i4>
      </vt:variant>
      <vt:variant>
        <vt:lpwstr>http://doi.org/10.15353/cfs-rcea.v2i1.50</vt:lpwstr>
      </vt:variant>
      <vt:variant>
        <vt:lpwstr/>
      </vt:variant>
      <vt:variant>
        <vt:i4>524296</vt:i4>
      </vt:variant>
      <vt:variant>
        <vt:i4>11</vt:i4>
      </vt:variant>
      <vt:variant>
        <vt:i4>0</vt:i4>
      </vt:variant>
      <vt:variant>
        <vt:i4>5</vt:i4>
      </vt:variant>
      <vt:variant>
        <vt:lpwstr>http://doi.org/10.4324/9780203740248</vt:lpwstr>
      </vt:variant>
      <vt:variant>
        <vt:lpwstr/>
      </vt:variant>
      <vt:variant>
        <vt:i4>3407934</vt:i4>
      </vt:variant>
      <vt:variant>
        <vt:i4>6</vt:i4>
      </vt:variant>
      <vt:variant>
        <vt:i4>0</vt:i4>
      </vt:variant>
      <vt:variant>
        <vt:i4>5</vt:i4>
      </vt:variant>
      <vt:variant>
        <vt:lpwstr>http://doi.org/10.1177/1440783318755017</vt:lpwstr>
      </vt:variant>
      <vt:variant>
        <vt:lpwstr/>
      </vt:variant>
      <vt:variant>
        <vt:i4>5046295</vt:i4>
      </vt:variant>
      <vt:variant>
        <vt:i4>3</vt:i4>
      </vt:variant>
      <vt:variant>
        <vt:i4>0</vt:i4>
      </vt:variant>
      <vt:variant>
        <vt:i4>5</vt:i4>
      </vt:variant>
      <vt:variant>
        <vt:lpwstr>http://doi.org/10.1038/s41562-019-0782-4</vt:lpwstr>
      </vt:variant>
      <vt:variant>
        <vt:lpwstr/>
      </vt:variant>
      <vt:variant>
        <vt:i4>2</vt:i4>
      </vt:variant>
      <vt:variant>
        <vt:i4>0</vt:i4>
      </vt:variant>
      <vt:variant>
        <vt:i4>0</vt:i4>
      </vt:variant>
      <vt:variant>
        <vt:i4>5</vt:i4>
      </vt:variant>
      <vt:variant>
        <vt:lpwstr>http://doi.org/10.1177/10888683231157961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class bias? - Diversity Council Australia</dc:title>
  <dc:subject/>
  <dc:creator>Rose D’Almada-Remedios (she/her)</dc:creator>
  <cp:keywords>Class</cp:keywords>
  <dc:description/>
  <cp:lastModifiedBy>Nicole Kindred (she/her)</cp:lastModifiedBy>
  <cp:revision>155</cp:revision>
  <dcterms:created xsi:type="dcterms:W3CDTF">2025-09-11T20:59:00Z</dcterms:created>
  <dcterms:modified xsi:type="dcterms:W3CDTF">2025-10-13T02:50:00Z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0x0101002C80E1D1C4A7774FA96DE147EA198403</vt:lpwstr>
  </property>
  <property fmtid="{D5CDD505-2E9C-101B-9397-08002B2CF9AE}" pid="3" name="MediaServiceImageTags">
    <vt:lpwstr/>
  </property>
</Properties>
</file>